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1065"/>
        <w:gridCol w:w="3454"/>
        <w:gridCol w:w="3414"/>
        <w:gridCol w:w="533"/>
        <w:gridCol w:w="221"/>
      </w:tblGrid>
      <w:tr w:rsidR="00000000" w14:paraId="61860A26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22E" w14:textId="77777777" w:rsidR="00000000" w:rsidRDefault="00CA0EB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4CD" w14:textId="77777777" w:rsidR="00000000" w:rsidRDefault="00CA0EB0">
            <w:pPr>
              <w:rPr>
                <w:lang w:val="es-ES"/>
              </w:rPr>
            </w:pPr>
          </w:p>
          <w:p w14:paraId="180CC15D" w14:textId="77777777" w:rsidR="00000000" w:rsidRDefault="00CA0EB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40"/>
                <w:szCs w:val="40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40"/>
                <w:szCs w:val="40"/>
                <w:lang w:val="es-ES"/>
              </w:rPr>
              <w:t>País ha recibido casi 600 mil dosis pediátricas</w:t>
            </w:r>
          </w:p>
          <w:p w14:paraId="3C62CE0C" w14:textId="77777777" w:rsidR="00000000" w:rsidRDefault="00CA0EB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40"/>
                <w:szCs w:val="40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40"/>
                <w:szCs w:val="40"/>
                <w:lang w:val="es-ES"/>
              </w:rPr>
              <w:t xml:space="preserve"> contra el COVID-19</w:t>
            </w:r>
          </w:p>
          <w:p w14:paraId="35878437" w14:textId="77777777" w:rsidR="00000000" w:rsidRDefault="00CA0EB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6"/>
                <w:szCs w:val="36"/>
                <w:lang w:val="es-ES"/>
              </w:rPr>
              <w:drawing>
                <wp:inline distT="0" distB="0" distL="0" distR="0" wp14:anchorId="5A7AE7AD" wp14:editId="3816C026">
                  <wp:extent cx="6146165" cy="3458845"/>
                  <wp:effectExtent l="0" t="0" r="6985" b="8255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165" cy="345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8145D" w14:textId="77777777" w:rsidR="00000000" w:rsidRDefault="00CA0EB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</w:p>
          <w:p w14:paraId="2461FA38" w14:textId="77777777" w:rsidR="00000000" w:rsidRDefault="00CA0EB0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5DC9064A" w14:textId="77777777" w:rsidR="00000000" w:rsidRDefault="00CA0EB0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Esta noche ingresaron 120.000 vacunas para niños de 5 a 11 años de la casa Pfizer/BioNTech.</w:t>
            </w:r>
          </w:p>
          <w:p w14:paraId="04033DD2" w14:textId="77777777" w:rsidR="00000000" w:rsidRDefault="00CA0EB0">
            <w:pPr>
              <w:pStyle w:val="Prrafodelista"/>
              <w:jc w:val="both"/>
              <w:rPr>
                <w:rFonts w:ascii="Arial" w:hAnsi="Arial" w:cs="Arial"/>
                <w:i/>
              </w:rPr>
            </w:pPr>
          </w:p>
          <w:p w14:paraId="0B675B36" w14:textId="77777777" w:rsidR="00000000" w:rsidRDefault="00CA0EB0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 trata del mayor envío de dosis </w:t>
            </w:r>
            <w:r>
              <w:rPr>
                <w:rFonts w:ascii="Arial" w:hAnsi="Arial" w:cs="Arial"/>
                <w:i/>
              </w:rPr>
              <w:t>infantiles que se ha recibido a la fecha.</w:t>
            </w:r>
          </w:p>
          <w:p w14:paraId="1722E9C1" w14:textId="77777777" w:rsidR="00000000" w:rsidRDefault="00CA0EB0">
            <w:pPr>
              <w:pStyle w:val="Prrafodelista"/>
              <w:jc w:val="both"/>
              <w:rPr>
                <w:rFonts w:ascii="Arial" w:hAnsi="Arial" w:cs="Arial"/>
                <w:i/>
              </w:rPr>
            </w:pPr>
          </w:p>
          <w:p w14:paraId="316E615D" w14:textId="77777777" w:rsidR="00000000" w:rsidRDefault="00CA0EB0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La CCSS ha aplicado 243.900 dosis a esta población. </w:t>
            </w:r>
          </w:p>
          <w:p w14:paraId="7299F4DD" w14:textId="77777777" w:rsidR="00000000" w:rsidRDefault="00CA0EB0">
            <w:pPr>
              <w:spacing w:line="24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14:paraId="1753B873" w14:textId="77777777" w:rsidR="00000000" w:rsidRDefault="00CA0EB0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 lo que va del año se han recibido más de 3,4 millones de vacunas en total.</w:t>
            </w:r>
          </w:p>
          <w:p w14:paraId="01D7D87E" w14:textId="77777777" w:rsidR="00000000" w:rsidRDefault="00CA0EB0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5098FC8A" w14:textId="77777777" w:rsidR="00000000" w:rsidRDefault="00CA0EB0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181D1EC4" w14:textId="77777777" w:rsidR="00000000" w:rsidRDefault="00CA0EB0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San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José. El lote número 81 que ingresó al país, este jueves, contiene 141.060 dosis contra el SARS-CoV-2. De ahí 120.000 vacunas son pediátricas y representa el lote de vacunas infantiles más grande en llegar a Costa Rica, a la fecha. Con este cargamento se l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lega a las casi 600 mil dosis infantiles recibidas. </w:t>
            </w:r>
          </w:p>
          <w:p w14:paraId="30320D83" w14:textId="77777777" w:rsidR="00000000" w:rsidRDefault="00CA0EB0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0B3D18EF" w14:textId="77777777" w:rsidR="00000000" w:rsidRDefault="00CA0EB0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Además esta noche ingresaron 21.060 vacunas para personas mayores de 12 años.</w:t>
            </w:r>
          </w:p>
          <w:p w14:paraId="41F24118" w14:textId="77777777" w:rsidR="00000000" w:rsidRDefault="00CA0EB0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05B81F5F" w14:textId="77777777" w:rsidR="00000000" w:rsidRDefault="00CA0EB0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lastRenderedPageBreak/>
              <w:t>Durante el 2022 el país ha recibido 3.464.040 dosis que corresponden a 2.895.440 vacunas para personas mayores de 12 años y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568.600 dosis para niños y niñas. </w:t>
            </w:r>
          </w:p>
          <w:p w14:paraId="03983756" w14:textId="77777777" w:rsidR="00000000" w:rsidRDefault="00CA0EB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018F9E16" w14:textId="77777777" w:rsidR="00000000" w:rsidRDefault="00CA0EB0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Para el presidente de la Comisión Nacional de Prevención de Riesgos y Atención de Emergencias (CNE), Alexander Solís, “al recibir 120 mil dosis pediátricas podremos avanzar rápidamente en la vacunación de este segmento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de la población. Al 28 de febrero, la Caja Costarricense de Seguro Social ha indicado que se han aplicado 243.900 vacunas para niños y niñas de 5 a 12 años. El país cuenta con suficientes dosis, así que reiteramos el llamado de asistir a los centros de vac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unación de todo el país”, mencionó.</w:t>
            </w:r>
          </w:p>
          <w:p w14:paraId="7DB05C2C" w14:textId="77777777" w:rsidR="00000000" w:rsidRDefault="00CA0EB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71CD0E4D" w14:textId="77777777" w:rsidR="00000000" w:rsidRDefault="00CA0EB0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Una vez que las dosis arriban al país, son sometidas a la revisión de los reportes de temperatura y aprobación documental por el laboratorio de control de calidad de medicamentos, tras lo cual quedan disponibles para su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utilización en la campaña de vacunación.</w:t>
            </w:r>
          </w:p>
          <w:p w14:paraId="62AA9130" w14:textId="77777777" w:rsidR="00000000" w:rsidRDefault="00CA0EB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4490C9F6" w14:textId="77777777" w:rsidR="00000000" w:rsidRDefault="00CA0EB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Balance del ingreso de vacunas</w:t>
            </w:r>
          </w:p>
          <w:p w14:paraId="01A0AEF3" w14:textId="77777777" w:rsidR="00000000" w:rsidRDefault="00CA0EB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0C6445D2" w14:textId="77777777" w:rsidR="00000000" w:rsidRDefault="00CA0EB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En dos arribos el mes de marzo suma ya 341.130 dosis recibidas. Ver cuadro detalle.</w:t>
            </w:r>
          </w:p>
          <w:p w14:paraId="7DD73CD6" w14:textId="77777777" w:rsidR="00000000" w:rsidRDefault="00CA0EB0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val="es-ES" w:eastAsia="es-ES"/>
              </w:rPr>
              <w:lastRenderedPageBreak/>
              <w:drawing>
                <wp:inline distT="0" distB="0" distL="0" distR="0" wp14:anchorId="5BD645A6" wp14:editId="463AD4F6">
                  <wp:extent cx="3689350" cy="5486400"/>
                  <wp:effectExtent l="0" t="0" r="635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54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5E83F" w14:textId="77777777" w:rsidR="00000000" w:rsidRDefault="00CA0EB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 la fecha, entre donaciones y contratos de compra nuestro país ha recibido un acumulado de 11.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755.785 dosis.</w:t>
            </w:r>
          </w:p>
          <w:p w14:paraId="25EB9CEB" w14:textId="77777777" w:rsidR="00000000" w:rsidRDefault="00CA0EB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5AEFA9A7" w14:textId="77777777" w:rsidR="00000000" w:rsidRDefault="00CA0EB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De esa cifra, 3.733.790 dosis han sido donadas por los gobiernos de España (1.572.290) Estados Unidos (1.503.900), Canadá (319.200), Francia (200.070),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República Dominicana (56.800) y Austria (50.000), además de las donaciones hechas por las empresas AstraZeneca (31.400) y Pfizer/BioNTech (130).</w:t>
            </w:r>
          </w:p>
          <w:p w14:paraId="374C540B" w14:textId="77777777" w:rsidR="00000000" w:rsidRDefault="00CA0E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val="es-ES" w:eastAsia="es-ES"/>
              </w:rPr>
              <w:drawing>
                <wp:inline distT="0" distB="0" distL="0" distR="0" wp14:anchorId="5A08AB2C" wp14:editId="199B8D9B">
                  <wp:extent cx="6177915" cy="3474720"/>
                  <wp:effectExtent l="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915" cy="347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104D0" w14:textId="77777777" w:rsidR="00000000" w:rsidRDefault="00CA0EB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076258BD" w14:textId="77777777" w:rsidR="00000000" w:rsidRDefault="00CA0EB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62F2EE79" w14:textId="77777777" w:rsidR="00000000" w:rsidRDefault="00CA0EB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Asimismo, 8.021.995 vacunas corresponden a contratos de compra. A hoy se han recibido 6.762.645 dosis de Pf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izer/BioNTech, 1.000.000 de la empresa AstraZeneca, y 259.350 del mecanismo multilateral COVAX. </w:t>
            </w:r>
          </w:p>
          <w:p w14:paraId="1CB3916B" w14:textId="77777777" w:rsidR="00000000" w:rsidRDefault="00CA0EB0">
            <w:pPr>
              <w:tabs>
                <w:tab w:val="left" w:pos="465"/>
              </w:tabs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2FDE7A35" w14:textId="77777777" w:rsidR="00000000" w:rsidRDefault="00CA0EB0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FE9" w14:textId="77777777" w:rsidR="00000000" w:rsidRDefault="00CA0EB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7B065419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FF5" w14:textId="77777777" w:rsidR="00000000" w:rsidRDefault="00CA0EB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  <w:bookmarkStart w:id="0" w:name="_heading=h.n79dcag5ambo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962" w14:textId="77777777" w:rsidR="00000000" w:rsidRDefault="00CA0EB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659" w14:textId="77777777" w:rsidR="00000000" w:rsidRDefault="00CA0EB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4B0" w14:textId="77777777" w:rsidR="00000000" w:rsidRDefault="00CA0EB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467" w14:textId="77777777" w:rsidR="00000000" w:rsidRDefault="00CA0EB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5EA" w14:textId="77777777" w:rsidR="00000000" w:rsidRDefault="00CA0EB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3CD535BA" w14:textId="77777777" w:rsidR="00000000" w:rsidRDefault="00CA0EB0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1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7306" w14:textId="77777777" w:rsidR="00000000" w:rsidRDefault="00CA0EB0">
      <w:pPr>
        <w:spacing w:after="0" w:line="240" w:lineRule="auto"/>
      </w:pPr>
      <w:r>
        <w:separator/>
      </w:r>
    </w:p>
  </w:endnote>
  <w:endnote w:type="continuationSeparator" w:id="0">
    <w:p w14:paraId="1ED01EF7" w14:textId="77777777" w:rsidR="00000000" w:rsidRDefault="00CA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25E2" w14:textId="77777777" w:rsidR="00000000" w:rsidRDefault="00CA0EB0">
      <w:pPr>
        <w:spacing w:after="0" w:line="240" w:lineRule="auto"/>
      </w:pPr>
      <w:r>
        <w:separator/>
      </w:r>
    </w:p>
  </w:footnote>
  <w:footnote w:type="continuationSeparator" w:id="0">
    <w:p w14:paraId="13736F28" w14:textId="77777777" w:rsidR="00000000" w:rsidRDefault="00CA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BE7B" w14:textId="77777777" w:rsidR="00000000" w:rsidRDefault="00CA0EB0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82B74"/>
    <w:multiLevelType w:val="multilevel"/>
    <w:tmpl w:val="8DC68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495191">
    <w:abstractNumId w:val="0"/>
  </w:num>
  <w:num w:numId="2" w16cid:durableId="1524200379">
    <w:abstractNumId w:val="0"/>
  </w:num>
  <w:num w:numId="3" w16cid:durableId="820731274">
    <w:abstractNumId w:val="0"/>
    <w:lvlOverride w:ilvl="0"/>
  </w:num>
  <w:num w:numId="4" w16cid:durableId="109131478">
    <w:abstractNumId w:val="1"/>
  </w:num>
  <w:num w:numId="5" w16cid:durableId="19793385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B0"/>
    <w:rsid w:val="00C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2319958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2022-05-13T20:39:00Z</dcterms:created>
  <dcterms:modified xsi:type="dcterms:W3CDTF">2022-05-13T20:39:00Z</dcterms:modified>
</cp:coreProperties>
</file>