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43"/>
        <w:gridCol w:w="2965"/>
        <w:gridCol w:w="2931"/>
        <w:gridCol w:w="494"/>
        <w:gridCol w:w="220"/>
      </w:tblGrid>
      <w:tr w:rsidR="00000000" w14:paraId="75B8081C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F9CB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F63" w14:textId="77777777" w:rsidR="00000000" w:rsidRDefault="0048609C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País llega a las cifras más altas de COVID-19: 18.021 casos en una misma semana</w:t>
            </w:r>
          </w:p>
          <w:p w14:paraId="5D646D1C" w14:textId="77777777" w:rsidR="00000000" w:rsidRDefault="0048609C">
            <w:pPr>
              <w:spacing w:line="240" w:lineRule="auto"/>
              <w:ind w:right="737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87FB39" wp14:editId="3EBD7593">
                  <wp:extent cx="6122670" cy="4730750"/>
                  <wp:effectExtent l="0" t="0" r="0" b="0"/>
                  <wp:docPr id="1" name="Imagen 2" descr="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73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AA455" w14:textId="77777777" w:rsidR="00000000" w:rsidRDefault="004860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4"/>
                <w:szCs w:val="24"/>
                <w:lang w:val="es-ES"/>
              </w:rPr>
              <w:t>Nuevos casos por coronavirus incrementaron en un 19.3%, aproximadamente, en la última semana</w:t>
            </w:r>
          </w:p>
          <w:p w14:paraId="433F56ED" w14:textId="77777777" w:rsidR="00000000" w:rsidRDefault="0048609C">
            <w:pPr>
              <w:pStyle w:val="Prrafodelista"/>
              <w:spacing w:line="240" w:lineRule="auto"/>
              <w:ind w:left="567" w:right="452"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6FF69A49" w14:textId="77777777" w:rsidR="00000000" w:rsidRDefault="004860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4"/>
                <w:szCs w:val="24"/>
                <w:lang w:val="es-ES"/>
              </w:rPr>
              <w:t>CNE extiende la Alerta Naranja a todos los cantones del país, cuya alerta regirá a partir del miércoles 19 de mayo</w:t>
            </w:r>
          </w:p>
          <w:p w14:paraId="6289DAB4" w14:textId="77777777" w:rsidR="00000000" w:rsidRDefault="0048609C">
            <w:pPr>
              <w:pStyle w:val="Prrafodelista"/>
              <w:spacing w:line="240" w:lineRule="auto"/>
              <w:ind w:left="567" w:right="452"/>
              <w:jc w:val="both"/>
              <w:rPr>
                <w:i/>
                <w:sz w:val="24"/>
                <w:szCs w:val="24"/>
                <w:lang w:val="es-ES"/>
              </w:rPr>
            </w:pPr>
          </w:p>
          <w:p w14:paraId="5D9812B7" w14:textId="77777777" w:rsidR="00000000" w:rsidRDefault="004860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4"/>
                <w:szCs w:val="24"/>
                <w:lang w:val="es-ES"/>
              </w:rPr>
              <w:t>En la semana epidemiológica 19, diez cantones concentraron el 44% de los casos registrados</w:t>
            </w:r>
          </w:p>
          <w:p w14:paraId="2E12E2D4" w14:textId="77777777" w:rsidR="00000000" w:rsidRDefault="0048609C">
            <w:pPr>
              <w:pStyle w:val="Prrafodelista"/>
              <w:spacing w:line="240" w:lineRule="auto"/>
              <w:ind w:left="567" w:right="452"/>
              <w:jc w:val="both"/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4"/>
                <w:szCs w:val="24"/>
                <w:lang w:val="es-ES"/>
              </w:rPr>
              <w:t xml:space="preserve"> </w:t>
            </w:r>
          </w:p>
          <w:p w14:paraId="2594AB85" w14:textId="77777777" w:rsidR="00000000" w:rsidRDefault="004860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67" w:right="452" w:hanging="283"/>
              <w:jc w:val="both"/>
              <w:rPr>
                <w:i/>
                <w:sz w:val="24"/>
                <w:szCs w:val="24"/>
                <w:lang w:val="es-ES"/>
              </w:rPr>
            </w:pPr>
            <w:r>
              <w:rPr>
                <w:i/>
                <w:sz w:val="24"/>
                <w:szCs w:val="24"/>
                <w:lang w:val="es-ES"/>
              </w:rPr>
              <w:t>Alerta Naranja es un llamado a la población par</w:t>
            </w:r>
            <w:r>
              <w:rPr>
                <w:i/>
                <w:sz w:val="24"/>
                <w:szCs w:val="24"/>
                <w:lang w:val="es-ES"/>
              </w:rPr>
              <w:t>a reforzar trabajo preventivo en sus comunidades, ejecutar campañas de educación y sensibilización.</w:t>
            </w:r>
          </w:p>
          <w:p w14:paraId="5384D240" w14:textId="77777777" w:rsidR="00000000" w:rsidRDefault="0048609C">
            <w:pPr>
              <w:spacing w:after="0" w:line="240" w:lineRule="auto"/>
              <w:ind w:right="452"/>
              <w:jc w:val="both"/>
              <w:rPr>
                <w:i/>
                <w:sz w:val="24"/>
                <w:szCs w:val="24"/>
              </w:rPr>
            </w:pPr>
          </w:p>
          <w:p w14:paraId="2982BF49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R"/>
              </w:rPr>
              <w:t>San José,18 de mayo del 2021.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R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s-CR"/>
              </w:rPr>
              <w:t>Los casos de coronavirus siguen en incremento en el país. En la última semana, se registraron 18.021 nuevos contagios, siendo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la cifra más alta en casi 15 meses de pandemia. Aproximadamente, 107 contagios por hora. Por esa </w:t>
            </w:r>
            <w:r>
              <w:rPr>
                <w:rFonts w:ascii="Arial" w:hAnsi="Arial" w:cs="Arial"/>
                <w:color w:val="000000"/>
                <w:lang w:eastAsia="es-CR"/>
              </w:rPr>
              <w:lastRenderedPageBreak/>
              <w:t>razón, el Centro de Operaciones en Emergencia recomendó a la Comisión Nacional de Prevención de Riesgos y Atención de Emergencias la declaratoria de Alerta Na</w:t>
            </w:r>
            <w:r>
              <w:rPr>
                <w:rFonts w:ascii="Arial" w:hAnsi="Arial" w:cs="Arial"/>
                <w:color w:val="000000"/>
                <w:lang w:eastAsia="es-CR"/>
              </w:rPr>
              <w:t>ranja en los 82 cantones del país.</w:t>
            </w:r>
          </w:p>
          <w:p w14:paraId="17F12BCA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1A2996D0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Los 10 cantones que suben a Alerta Naranja esta semana para llegar al 100% del país son: Aserrí, Mora, Turrubares, Dota, Río Cuarto, Alvarado, Cañas, Abangares y La Cruz.</w:t>
            </w:r>
          </w:p>
          <w:p w14:paraId="488B6667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26E46A24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“Estamos en un punto crítico de la pandemia. En las últimas semanas, los contagios se aceleraron en todo el país, y eso nos he llevado a declarar la Alerta Naranja en todos los cantones, tenemos que juntos hacer un esfuerzo adicional para frenar esta ola d</w:t>
            </w:r>
            <w:r>
              <w:rPr>
                <w:rFonts w:ascii="Arial" w:hAnsi="Arial" w:cs="Arial"/>
                <w:color w:val="000000"/>
                <w:lang w:eastAsia="es-CR"/>
              </w:rPr>
              <w:t>e contagio y evitar llevar más preocupación a los hogares costarricenses”, explicó Alexander Solís, presidente de la CNE.</w:t>
            </w:r>
          </w:p>
          <w:p w14:paraId="23C8B00F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65170624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Solís recalcó el trabajo de los Comités Municipales de Emergencia (CME) en todo el país, quienes semana a semana trabajan en la actua</w:t>
            </w:r>
            <w:r>
              <w:rPr>
                <w:rFonts w:ascii="Arial" w:hAnsi="Arial" w:cs="Arial"/>
                <w:color w:val="000000"/>
                <w:lang w:eastAsia="es-CR"/>
              </w:rPr>
              <w:t>lización de sus planes cantonales, reforzamiento de los protocolos sanitarios gracias al trabajo coordinado con las instituciones de la localidad, empresa privada, grupos organizados y líderes comunitarios.</w:t>
            </w:r>
          </w:p>
          <w:p w14:paraId="3F5372FD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7F6F1A90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“Cada cantón tiene sus particularidades, de allí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la importancia de que cada CME trabajé en la atención directa de los retos de las comunidades para salvaguardar la salud pública de las familias; en el Marco del Modelo de Gestión Compartida, herramienta que ha ayudado a los CMEs a orientar su respuesta a</w:t>
            </w:r>
            <w:r>
              <w:rPr>
                <w:rFonts w:ascii="Arial" w:hAnsi="Arial" w:cs="Arial"/>
                <w:color w:val="000000"/>
                <w:lang w:eastAsia="es-CR"/>
              </w:rPr>
              <w:t xml:space="preserve"> la pandemia”, añadió.</w:t>
            </w:r>
          </w:p>
          <w:p w14:paraId="645B1187" w14:textId="77777777" w:rsidR="00000000" w:rsidRDefault="0048609C">
            <w:pPr>
              <w:spacing w:after="0" w:line="276" w:lineRule="auto"/>
              <w:ind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</w:p>
          <w:p w14:paraId="14BC54C4" w14:textId="77777777" w:rsidR="00000000" w:rsidRDefault="0048609C">
            <w:pPr>
              <w:spacing w:after="0" w:line="276" w:lineRule="auto"/>
              <w:ind w:left="284" w:right="452"/>
              <w:contextualSpacing/>
              <w:jc w:val="both"/>
              <w:rPr>
                <w:rFonts w:ascii="Arial" w:hAnsi="Arial" w:cs="Arial"/>
                <w:color w:val="000000"/>
                <w:lang w:eastAsia="es-CR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La Sala de Análisis de la Situación Nacional identificó que 10 cantones reúnen el 44% de total de contagios registrados la semana anterior: San José, Alajuela, Desamparados, Cartago, Pérez Zeledón, Heredia, San Carlos, Pococí, La Un</w:t>
            </w:r>
            <w:r>
              <w:rPr>
                <w:rFonts w:ascii="Arial" w:hAnsi="Arial" w:cs="Arial"/>
                <w:color w:val="000000"/>
                <w:lang w:eastAsia="es-CR"/>
              </w:rPr>
              <w:t>ión y Goicoechea.</w:t>
            </w:r>
          </w:p>
          <w:p w14:paraId="180CAC30" w14:textId="77777777" w:rsidR="00000000" w:rsidRDefault="004860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5DC4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1B85B6FD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732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C7BB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1E1D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76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8D1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CF32" w14:textId="77777777" w:rsidR="00000000" w:rsidRDefault="0048609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73C9CB45" w14:textId="77777777" w:rsidR="00000000" w:rsidRDefault="0048609C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44E7A"/>
    <w:multiLevelType w:val="hybridMultilevel"/>
    <w:tmpl w:val="D134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992612">
    <w:abstractNumId w:val="0"/>
  </w:num>
  <w:num w:numId="2" w16cid:durableId="186898134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9C"/>
    <w:rsid w:val="0048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0A4D89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2022-05-13T20:23:00Z</dcterms:created>
  <dcterms:modified xsi:type="dcterms:W3CDTF">2022-05-13T20:23:00Z</dcterms:modified>
</cp:coreProperties>
</file>