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CFBC" w14:textId="77777777" w:rsidR="00000000" w:rsidRDefault="00490267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CP-574-2021</w:t>
      </w:r>
    </w:p>
    <w:p w14:paraId="05C4504C" w14:textId="77777777" w:rsidR="00000000" w:rsidRDefault="00490267">
      <w:pPr>
        <w:jc w:val="right"/>
        <w:rPr>
          <w:rFonts w:ascii="Calibri" w:eastAsia="Calibri" w:hAnsi="Calibri" w:cs="Calibri"/>
          <w:sz w:val="20"/>
          <w:szCs w:val="20"/>
        </w:rPr>
      </w:pPr>
      <w:bookmarkStart w:id="0" w:name="_heading=h.gjdgxs"/>
      <w:bookmarkEnd w:id="0"/>
      <w:r>
        <w:rPr>
          <w:rFonts w:ascii="Calibri" w:eastAsia="Calibri" w:hAnsi="Calibri" w:cs="Calibri"/>
          <w:sz w:val="20"/>
          <w:szCs w:val="20"/>
        </w:rPr>
        <w:t>Jueves 20 de mayo de 2021</w:t>
      </w:r>
    </w:p>
    <w:p w14:paraId="5749146D" w14:textId="77777777" w:rsidR="00000000" w:rsidRDefault="00490267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9A188DE" w14:textId="77777777" w:rsidR="00000000" w:rsidRDefault="00490267">
      <w:pPr>
        <w:pStyle w:val="NormalWeb"/>
        <w:spacing w:before="0" w:beforeAutospacing="0" w:after="0" w:afterAutospacing="0"/>
        <w:ind w:left="36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Miembros de Comités Municipales de Emergencia serán </w:t>
      </w:r>
    </w:p>
    <w:p w14:paraId="350C7C60" w14:textId="77777777" w:rsidR="00000000" w:rsidRDefault="00490267">
      <w:pPr>
        <w:pStyle w:val="NormalWeb"/>
        <w:spacing w:before="0" w:beforeAutospacing="0" w:after="0" w:afterAutospacing="0"/>
        <w:ind w:left="36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inmunizados para continuar labores contra el COVID-19</w:t>
      </w:r>
    </w:p>
    <w:p w14:paraId="3B0C2C8B" w14:textId="77777777" w:rsidR="00000000" w:rsidRDefault="00490267">
      <w:pPr>
        <w:pStyle w:val="NormalWeb"/>
        <w:spacing w:before="0" w:beforeAutospacing="0" w:after="0" w:afterAutospacing="0"/>
        <w:ind w:left="36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5D1596C7" w14:textId="77777777" w:rsidR="00000000" w:rsidRDefault="00490267">
      <w:pPr>
        <w:pStyle w:val="NormalWeb"/>
        <w:keepNext/>
        <w:spacing w:before="0" w:beforeAutospacing="0" w:after="0" w:afterAutospacing="0"/>
        <w:ind w:left="360"/>
        <w:jc w:val="center"/>
      </w:pP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inline distT="0" distB="0" distL="0" distR="0" wp14:anchorId="18C0F725" wp14:editId="3DD5FEB7">
            <wp:extent cx="7012940" cy="3267710"/>
            <wp:effectExtent l="0" t="0" r="0" b="889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38AC" w14:textId="77777777" w:rsidR="00000000" w:rsidRDefault="00490267">
      <w:pPr>
        <w:pStyle w:val="Descripcin"/>
        <w:jc w:val="center"/>
      </w:pPr>
      <w:r>
        <w:t xml:space="preserve">Ilustración </w:t>
      </w:r>
      <w:r>
        <w:fldChar w:fldCharType="begin"/>
      </w:r>
      <w:r>
        <w:instrText xml:space="preserve"> SEQ Ilustración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Personas sentadas en reuión</w:t>
      </w:r>
    </w:p>
    <w:p w14:paraId="40F8D2EF" w14:textId="77777777" w:rsidR="00000000" w:rsidRDefault="00490267">
      <w:r>
        <w:br/>
      </w:r>
    </w:p>
    <w:p w14:paraId="24C0FA5C" w14:textId="77777777" w:rsidR="00000000" w:rsidRDefault="0049026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Ubicados en los 82 cantones y 8 intendencias, los CME han desempeñado desde el inicio de la pandemia un papel esencial en la primera línea de asistencia humanitaria en la emergencia.</w:t>
      </w:r>
    </w:p>
    <w:p w14:paraId="1A51659A" w14:textId="77777777" w:rsidR="00000000" w:rsidRDefault="00490267"/>
    <w:p w14:paraId="3FB3980B" w14:textId="77777777" w:rsidR="00000000" w:rsidRDefault="00490267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Estos comités coordinan las acciones de preparación y respuesta ante sit</w:t>
      </w:r>
      <w:r>
        <w:rPr>
          <w:rFonts w:ascii="Calibri" w:hAnsi="Calibri" w:cs="Calibri"/>
          <w:b/>
          <w:bCs/>
          <w:color w:val="000000"/>
        </w:rPr>
        <w:t>uaciones de emergencia en los territorios.</w:t>
      </w:r>
    </w:p>
    <w:p w14:paraId="67DCA254" w14:textId="77777777" w:rsidR="00000000" w:rsidRDefault="00490267"/>
    <w:p w14:paraId="164C6389" w14:textId="77777777" w:rsidR="00000000" w:rsidRDefault="0049026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San José.  </w:t>
      </w:r>
      <w:r>
        <w:rPr>
          <w:rFonts w:ascii="Calibri" w:hAnsi="Calibri" w:cs="Calibri"/>
          <w:color w:val="000000"/>
          <w:sz w:val="22"/>
          <w:szCs w:val="22"/>
        </w:rPr>
        <w:t xml:space="preserve">Continuando con el proceso de inmunización contra el COVID-19, la Comisión Nacional de Vacunación y Epidemiología incluyó como parte del grupo 1 A al personal de los Comités Municipales de Emergencias </w:t>
      </w:r>
      <w:r>
        <w:rPr>
          <w:rFonts w:ascii="Calibri" w:hAnsi="Calibri" w:cs="Calibri"/>
          <w:color w:val="000000"/>
          <w:sz w:val="22"/>
          <w:szCs w:val="22"/>
        </w:rPr>
        <w:t>(CME) de los 82 cantones y las ocho intendencias de nuestro país.</w:t>
      </w:r>
    </w:p>
    <w:p w14:paraId="0B932B48" w14:textId="77777777" w:rsidR="00000000" w:rsidRDefault="00490267">
      <w:pPr>
        <w:rPr>
          <w:sz w:val="22"/>
          <w:szCs w:val="22"/>
        </w:rPr>
      </w:pPr>
    </w:p>
    <w:p w14:paraId="27F01896" w14:textId="77777777" w:rsidR="00000000" w:rsidRDefault="0049026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Desde el inicio de la pandemia -en el primer trimestre del año anterior- este grupo ha desempeñado un papel esencial al trabajar en la primera línea de asistencia humanitaria en la emergenc</w:t>
      </w:r>
      <w:r>
        <w:rPr>
          <w:rFonts w:ascii="Calibri" w:hAnsi="Calibri" w:cs="Calibri"/>
          <w:color w:val="000000"/>
          <w:sz w:val="22"/>
          <w:szCs w:val="22"/>
        </w:rPr>
        <w:t>ia.</w:t>
      </w:r>
    </w:p>
    <w:p w14:paraId="40EC0B82" w14:textId="77777777" w:rsidR="00000000" w:rsidRDefault="0049026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824BF9" w14:textId="77777777" w:rsidR="00000000" w:rsidRDefault="0049026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A96FD1" w14:textId="77777777" w:rsidR="00000000" w:rsidRDefault="00490267">
      <w:pPr>
        <w:pStyle w:val="NormalWeb"/>
        <w:keepNext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559975C4" wp14:editId="7B47BE62">
            <wp:extent cx="7012940" cy="3951605"/>
            <wp:effectExtent l="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6F09" w14:textId="77777777" w:rsidR="00000000" w:rsidRDefault="00490267">
      <w:pPr>
        <w:pStyle w:val="Descripcin"/>
        <w:jc w:val="both"/>
        <w:rPr>
          <w:sz w:val="22"/>
          <w:szCs w:val="22"/>
        </w:rPr>
      </w:pPr>
      <w:r>
        <w:t xml:space="preserve">Ilustración </w:t>
      </w:r>
      <w:r>
        <w:fldChar w:fldCharType="begin"/>
      </w:r>
      <w:r>
        <w:instrText xml:space="preserve"> SEQ Ilustración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Personas sentadas en reuión</w:t>
      </w:r>
    </w:p>
    <w:p w14:paraId="7E375208" w14:textId="77777777" w:rsidR="00000000" w:rsidRDefault="00490267">
      <w:pPr>
        <w:rPr>
          <w:sz w:val="22"/>
          <w:szCs w:val="22"/>
        </w:rPr>
      </w:pPr>
    </w:p>
    <w:p w14:paraId="2B52EBBA" w14:textId="77777777" w:rsidR="00000000" w:rsidRDefault="0049026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 el fin de operacionalizar </w:t>
      </w:r>
      <w:r>
        <w:rPr>
          <w:rFonts w:ascii="Calibri" w:hAnsi="Calibri" w:cs="Calibri"/>
          <w:color w:val="000000"/>
          <w:sz w:val="22"/>
          <w:szCs w:val="22"/>
        </w:rPr>
        <w:t xml:space="preserve">este proceso, la Comisión Nacional de Prevención de Riesgos y Atención de Emergencias (CNE) envió certificado a las Direcciones de Áreas Rectoras de Salud de personas sujetas a vacunación. Estas direcciones deben coordinar con la Áreas de Salud de la Caja </w:t>
      </w:r>
      <w:r>
        <w:rPr>
          <w:rFonts w:ascii="Calibri" w:hAnsi="Calibri" w:cs="Calibri"/>
          <w:color w:val="000000"/>
          <w:sz w:val="22"/>
          <w:szCs w:val="22"/>
        </w:rPr>
        <w:t>Costarricense de Seguro Social (CCSS) para que se realice la vacunación.</w:t>
      </w:r>
    </w:p>
    <w:p w14:paraId="272A0AED" w14:textId="77777777" w:rsidR="00000000" w:rsidRDefault="00490267">
      <w:pPr>
        <w:rPr>
          <w:sz w:val="22"/>
          <w:szCs w:val="22"/>
        </w:rPr>
      </w:pPr>
    </w:p>
    <w:p w14:paraId="12F1DD19" w14:textId="77777777" w:rsidR="00000000" w:rsidRDefault="0049026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Alexander Solís, presidente de la CNE, manifestó que “los CME han sido un aliado importante para las comunidades en la atención y asistencia humanitaria a las familias, por eso es im</w:t>
      </w:r>
      <w:r>
        <w:rPr>
          <w:rFonts w:ascii="Calibri" w:hAnsi="Calibri" w:cs="Calibri"/>
          <w:color w:val="000000"/>
          <w:sz w:val="22"/>
          <w:szCs w:val="22"/>
        </w:rPr>
        <w:t>portante la inclusión de estos en el grupo de vacunación, ya que esto permite fortalecer la gestión realizada bajo el Modelo de Gestión Compartida: Costa Rica trabaja y se cuida, la cual se hace bajo un acercamiento inminente con las personas de los distin</w:t>
      </w:r>
      <w:r>
        <w:rPr>
          <w:rFonts w:ascii="Calibri" w:hAnsi="Calibri" w:cs="Calibri"/>
          <w:color w:val="000000"/>
          <w:sz w:val="22"/>
          <w:szCs w:val="22"/>
        </w:rPr>
        <w:t>tos cantones”, dijo.</w:t>
      </w:r>
    </w:p>
    <w:p w14:paraId="63BBC7FE" w14:textId="77777777" w:rsidR="00000000" w:rsidRDefault="0049026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5F45927" w14:textId="77777777" w:rsidR="00000000" w:rsidRDefault="0049026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“Como primera línea de respuesta, los CME fueron priorizados en la vacunación. Sin embargo, frente a la diversidad organizativa de cada Municipalidad, también fue necesario identificar los roles -como los inspectores- que prestan apoy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 humanitario y fiscalización y que ahora están siendo incluidos”, agregó el presidente ejecutivo del IFAM, Patricio Morera.</w:t>
      </w:r>
    </w:p>
    <w:p w14:paraId="7A0D0CFF" w14:textId="77777777" w:rsidR="00000000" w:rsidRDefault="0049026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61B89F0D" w14:textId="77777777" w:rsidR="00000000" w:rsidRDefault="0049026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02BA9EDA" w14:textId="77777777" w:rsidR="00000000" w:rsidRDefault="00490267">
      <w:pPr>
        <w:pStyle w:val="NormalWeb"/>
        <w:keepNext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222222"/>
          <w:sz w:val="22"/>
          <w:szCs w:val="22"/>
          <w:shd w:val="clear" w:color="auto" w:fill="FFFFFF"/>
        </w:rPr>
        <w:lastRenderedPageBreak/>
        <w:drawing>
          <wp:inline distT="0" distB="0" distL="0" distR="0" wp14:anchorId="0A5FC22C" wp14:editId="16A8BC2C">
            <wp:extent cx="7012940" cy="5255895"/>
            <wp:effectExtent l="0" t="0" r="0" b="1905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BE9A" w14:textId="77777777" w:rsidR="00000000" w:rsidRDefault="00490267">
      <w:pPr>
        <w:pStyle w:val="Descripcin"/>
        <w:jc w:val="both"/>
        <w:rPr>
          <w:sz w:val="22"/>
          <w:szCs w:val="22"/>
        </w:rPr>
      </w:pPr>
      <w:r>
        <w:t xml:space="preserve">Ilustración </w:t>
      </w:r>
      <w:r>
        <w:fldChar w:fldCharType="begin"/>
      </w:r>
      <w:r>
        <w:instrText xml:space="preserve"> SEQ Ilustración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Personas sentadas en reuión</w:t>
      </w:r>
    </w:p>
    <w:p w14:paraId="02D8F6A3" w14:textId="77777777" w:rsidR="00000000" w:rsidRDefault="00490267">
      <w:pPr>
        <w:rPr>
          <w:sz w:val="22"/>
          <w:szCs w:val="22"/>
        </w:rPr>
      </w:pPr>
    </w:p>
    <w:p w14:paraId="587A89C7" w14:textId="77777777" w:rsidR="00000000" w:rsidRDefault="0049026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Los CME son integrados por </w:t>
      </w:r>
      <w:r>
        <w:rPr>
          <w:rFonts w:ascii="Calibri" w:hAnsi="Calibri" w:cs="Calibri"/>
          <w:color w:val="000000"/>
          <w:sz w:val="22"/>
          <w:szCs w:val="22"/>
        </w:rPr>
        <w:t>representantes de instituciones públicas organizadas presentes en un territorio. Son una instancia del Sistema Nacional de Gestión del Riesgo (SNGR) para la coordinación de acciones de preparación y respuesta ante situaciones de emergencia y/o desastre.</w:t>
      </w:r>
    </w:p>
    <w:p w14:paraId="70048AD5" w14:textId="77777777" w:rsidR="00000000" w:rsidRDefault="00490267">
      <w:pPr>
        <w:rPr>
          <w:sz w:val="22"/>
          <w:szCs w:val="22"/>
        </w:rPr>
      </w:pPr>
    </w:p>
    <w:p w14:paraId="794F01AA" w14:textId="77777777" w:rsidR="00000000" w:rsidRDefault="0049026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ediante esta acción, personal de primera respuesta como Cruz Roja, Bomberos, Sistema de Emergencias 9-1-1, Caja Costarricense del Seguro Social (CCSS), Ministerio de Seguridad Pública (MSP), Organismo de Investigación Judicial (OIJ), Policía de Tránsito, I</w:t>
      </w:r>
      <w:r>
        <w:rPr>
          <w:rFonts w:ascii="Calibri" w:hAnsi="Calibri" w:cs="Calibri"/>
          <w:color w:val="000000"/>
          <w:sz w:val="22"/>
          <w:szCs w:val="22"/>
        </w:rPr>
        <w:t>nstituto Mixto de Ayuda Social (IMAS) y Ministerio de Salud, principalmente, han realizado una labor de entrega de diarios a personas con orden sanitarias, recorridos en tiendas, comercios, establecimientos públicos, parques y mercados para verificar la ap</w:t>
      </w:r>
      <w:r>
        <w:rPr>
          <w:rFonts w:ascii="Calibri" w:hAnsi="Calibri" w:cs="Calibri"/>
          <w:color w:val="000000"/>
          <w:sz w:val="22"/>
          <w:szCs w:val="22"/>
        </w:rPr>
        <w:t>licación de protocolos sanitarios con el fin de salvaguardar la salud pública.</w:t>
      </w:r>
    </w:p>
    <w:p w14:paraId="66FFD35D" w14:textId="77777777" w:rsidR="00000000" w:rsidRDefault="0049026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5C7351" w14:textId="77777777" w:rsidR="00000000" w:rsidRDefault="0049026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Los CME identifican las medidas de mitigación que nacen en el entorno familiar y son apoyados por los lineamientos que dicten las Municipalidades y las autoridades como CNE, M</w:t>
      </w:r>
      <w:r>
        <w:rPr>
          <w:rFonts w:ascii="Calibri" w:hAnsi="Calibri" w:cs="Calibri"/>
          <w:color w:val="000000"/>
          <w:sz w:val="22"/>
          <w:szCs w:val="22"/>
        </w:rPr>
        <w:t xml:space="preserve">inisterio de Salud y CCSS. </w:t>
      </w:r>
    </w:p>
    <w:sectPr w:rsidR="00000000">
      <w:headerReference w:type="default" r:id="rId11"/>
      <w:footerReference w:type="default" r:id="rId12"/>
      <w:pgSz w:w="12240" w:h="15840"/>
      <w:pgMar w:top="1440" w:right="616" w:bottom="1440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02D9" w14:textId="77777777" w:rsidR="00000000" w:rsidRDefault="00490267">
      <w:r>
        <w:separator/>
      </w:r>
    </w:p>
  </w:endnote>
  <w:endnote w:type="continuationSeparator" w:id="0">
    <w:p w14:paraId="102007A0" w14:textId="77777777" w:rsidR="00000000" w:rsidRDefault="004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0299" w14:textId="77777777" w:rsidR="00000000" w:rsidRDefault="00490267">
    <w:pP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49DDEA4" wp14:editId="677320E7">
          <wp:extent cx="5613400" cy="334010"/>
          <wp:effectExtent l="0" t="0" r="6350" b="8890"/>
          <wp:docPr id="4" name="image4.png" descr="https://lh5.googleusercontent.com/qjpeMGzhtR2yqo78jOwSrSSksst4sZzLOXsc5qKu2g3RUt4DSC3e-HylGtEzLgwAgXD1SMifkEUOEk3Cpbj_ekprc5xRHj-_w5_32k76Dq0rl4qUhMCPhDXDkfdo1RG0BMHreFNFWb-tWy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5.googleusercontent.com/qjpeMGzhtR2yqo78jOwSrSSksst4sZzLOXsc5qKu2g3RUt4DSC3e-HylGtEzLgwAgXD1SMifkEUOEk3Cpbj_ekprc5xRHj-_w5_32k76Dq0rl4qUhMCPhDXDkfdo1RG0BMHreFNFWb-tWy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A193" w14:textId="77777777" w:rsidR="00000000" w:rsidRDefault="00490267">
      <w:r>
        <w:separator/>
      </w:r>
    </w:p>
  </w:footnote>
  <w:footnote w:type="continuationSeparator" w:id="0">
    <w:p w14:paraId="51086DC3" w14:textId="77777777" w:rsidR="00000000" w:rsidRDefault="0049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DB58" w14:textId="77777777" w:rsidR="00000000" w:rsidRDefault="00490267">
    <w:r>
      <w:rPr>
        <w:noProof/>
      </w:rPr>
      <w:drawing>
        <wp:anchor distT="0" distB="0" distL="114300" distR="114300" simplePos="0" relativeHeight="251663360" behindDoc="0" locked="0" layoutInCell="1" allowOverlap="1" wp14:anchorId="7B79E4EF" wp14:editId="0E509D2A">
          <wp:simplePos x="0" y="0"/>
          <wp:positionH relativeFrom="margin">
            <wp:posOffset>4794885</wp:posOffset>
          </wp:positionH>
          <wp:positionV relativeFrom="margin">
            <wp:posOffset>-852805</wp:posOffset>
          </wp:positionV>
          <wp:extent cx="1089025" cy="654685"/>
          <wp:effectExtent l="0" t="0" r="0" b="0"/>
          <wp:wrapSquare wrapText="bothSides"/>
          <wp:docPr id="6" name="Imagen 2" descr="https://lh4.googleusercontent.com/KGmELXWz0JOsVTa6t5fkoUKfRN3OP94hgT3DzuzwnRo6jYCrOaiFXjovNJ60iJsdvDGGrnxzRG4MznSucy2iDVOI85khEoq2FCiddgcPlvDjR74lXWsEN2brY3oOX2G2OBec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lh4.googleusercontent.com/KGmELXWz0JOsVTa6t5fkoUKfRN3OP94hgT3DzuzwnRo6jYCrOaiFXjovNJ60iJsdvDGGrnxzRG4MznSucy2iDVOI85khEoq2FCiddgcPlvDjR74lXWsEN2brY3oOX2G2OBec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5A9FCF2" wp14:editId="25599B98">
          <wp:simplePos x="0" y="0"/>
          <wp:positionH relativeFrom="margin">
            <wp:posOffset>3763645</wp:posOffset>
          </wp:positionH>
          <wp:positionV relativeFrom="margin">
            <wp:posOffset>-929640</wp:posOffset>
          </wp:positionV>
          <wp:extent cx="739140" cy="739140"/>
          <wp:effectExtent l="0" t="0" r="3810" b="3810"/>
          <wp:wrapSquare wrapText="bothSides"/>
          <wp:docPr id="2" name="Imagen 1" descr="https://lh3.googleusercontent.com/AnSPkV-cuDZAnTdH0y93Xu5nQYaP-xSHRFDz9mO2jBBMNkSfBws6jzCyyDsprwwGsaQ0W3bIjIP2uRLTL6V3tUWbf6DJ1JQdOvOBfjz1Y4Li-AItZq3fP4zXBqpIrV6cMck4q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lh3.googleusercontent.com/AnSPkV-cuDZAnTdH0y93Xu5nQYaP-xSHRFDz9mO2jBBMNkSfBws6jzCyyDsprwwGsaQ0W3bIjIP2uRLTL6V3tUWbf6DJ1JQdOvOBfjz1Y4Li-AItZq3fP4zXBqpIrV6cMck4q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B2DB39" wp14:editId="5D912512">
          <wp:simplePos x="0" y="0"/>
          <wp:positionH relativeFrom="column">
            <wp:posOffset>6630670</wp:posOffset>
          </wp:positionH>
          <wp:positionV relativeFrom="paragraph">
            <wp:posOffset>-502285</wp:posOffset>
          </wp:positionV>
          <wp:extent cx="762000" cy="866775"/>
          <wp:effectExtent l="0" t="0" r="0" b="0"/>
          <wp:wrapSquare wrapText="bothSides"/>
          <wp:docPr id="3" name="image1.png" descr="https://lh3.googleusercontent.com/K61w7PtV-fVbBbIOXog7iElD3oCrEiIZ68F27H4dc8-CmsRPb6FOdYRdJwNs_rc3q69I4WFrJQbGAvl6TaLTfkPjA7v2r_TZzkn2gVwFbZ_jM1XQdfUShw9HhyjihqL7fhXVJWn71qSrkbX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K61w7PtV-fVbBbIOXog7iElD3oCrEiIZ68F27H4dc8-CmsRPb6FOdYRdJwNs_rc3q69I4WFrJQbGAvl6TaLTfkPjA7v2r_TZzkn2gVwFbZ_jM1XQdfUShw9HhyjihqL7fhXVJWn71qSrkbX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4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481E0D" wp14:editId="7DB58B85">
          <wp:simplePos x="0" y="0"/>
          <wp:positionH relativeFrom="column">
            <wp:posOffset>566420</wp:posOffset>
          </wp:positionH>
          <wp:positionV relativeFrom="paragraph">
            <wp:posOffset>-127000</wp:posOffset>
          </wp:positionV>
          <wp:extent cx="1733550" cy="590550"/>
          <wp:effectExtent l="0" t="0" r="0" b="0"/>
          <wp:wrapSquare wrapText="bothSides"/>
          <wp:docPr id="1" name="image2.png" descr="https://lh5.googleusercontent.com/EPTbMAWOPWWEMrvvubX79z_sQyDh3Jj7IHRTbeL1Y0zjLf9sCWAKolPpNAS6UtctCrXqY0JmaYrzJsndCdIDHrDefS2h4nNduXQEZLx9QQfGbdtLeia0xgOvxl3AA6sUJT8y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EPTbMAWOPWWEMrvvubX79z_sQyDh3Jj7IHRTbeL1Y0zjLf9sCWAKolPpNAS6UtctCrXqY0JmaYrzJsndCdIDHrDefS2h4nNduXQEZLx9QQfGbdtLeia0xgOvxl3AA6sUJT8yM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B6735D" wp14:editId="4A748EFA">
          <wp:simplePos x="0" y="0"/>
          <wp:positionH relativeFrom="margin">
            <wp:posOffset>2524760</wp:posOffset>
          </wp:positionH>
          <wp:positionV relativeFrom="topMargin">
            <wp:posOffset>252095</wp:posOffset>
          </wp:positionV>
          <wp:extent cx="1019175" cy="723900"/>
          <wp:effectExtent l="0" t="0" r="9525" b="0"/>
          <wp:wrapSquare wrapText="bothSides"/>
          <wp:docPr id="5" name="image7.png" descr="Bicentenario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Bicentenario Horizontal col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EA5C4" w14:textId="77777777" w:rsidR="00000000" w:rsidRDefault="00490267"/>
  <w:p w14:paraId="535A587F" w14:textId="77777777" w:rsidR="00000000" w:rsidRDefault="004902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BD3"/>
    <w:multiLevelType w:val="multilevel"/>
    <w:tmpl w:val="AF1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20935"/>
    <w:multiLevelType w:val="multilevel"/>
    <w:tmpl w:val="E23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050534">
    <w:abstractNumId w:val="1"/>
  </w:num>
  <w:num w:numId="2" w16cid:durableId="17469981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040726">
    <w:abstractNumId w:val="0"/>
  </w:num>
  <w:num w:numId="4" w16cid:durableId="21402997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0"/>
  <w:characterSpacingControl w:val="doNotCompress"/>
  <w:hdrShapeDefaults>
    <o:shapedefaults v:ext="edit" spidmax="3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67"/>
    <w:rsid w:val="004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."/>
  <w:listSeparator w:val=","/>
  <w14:docId w14:val="21DF1F14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" w:eastAsia="es-C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ES" w:eastAsia="es-C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  <w:rPr>
      <w:rFonts w:ascii="Calibri" w:eastAsia="Calibri" w:hAnsi="Calibri" w:cs="Calibri"/>
      <w:lang w:val="es-ES" w:eastAsia="es-CR"/>
    </w:r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  <w:rPr>
      <w:rFonts w:ascii="Calibri" w:eastAsia="Calibri" w:hAnsi="Calibri" w:cs="Calibri"/>
      <w:lang w:val="es-ES" w:eastAsia="es-CR"/>
    </w:rPr>
  </w:style>
  <w:style w:type="character" w:customStyle="1" w:styleId="PiedepginaCar">
    <w:name w:val="Pie de página Car"/>
    <w:basedOn w:val="Fuentedeprrafopredeter"/>
    <w:link w:val="Piedepgina"/>
    <w:uiPriority w:val="99"/>
    <w:locked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semiHidden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" w:eastAsia="es-CR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  <w:rPr>
      <w:rFonts w:ascii="Calibri" w:eastAsia="Calibri" w:hAnsi="Calibri" w:cs="Calibri"/>
      <w:lang w:val="es-ES" w:eastAsia="es-C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3WikNkP82oHN12DE4ytmaF3OTg==">AMUW2mUip/WS8THbwnN+ktx+16F7bHUBPCs9OXPGAQgfgEtrFEB8PelW9BjeEhSGYKVdG8hxxA8rvdK5W/CCE3e71Yhwt/mqWJM40Er0+Z81xvyv1ZSpM2lp+bnaRnPW6sqiQqLN6eva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Palma</dc:creator>
  <cp:keywords/>
  <dc:description/>
  <cp:lastModifiedBy>David Eduarte Vargas</cp:lastModifiedBy>
  <cp:revision>2</cp:revision>
  <dcterms:created xsi:type="dcterms:W3CDTF">2022-05-13T20:22:00Z</dcterms:created>
  <dcterms:modified xsi:type="dcterms:W3CDTF">2022-05-13T20:22:00Z</dcterms:modified>
</cp:coreProperties>
</file>