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 w14:paraId="624EF7D8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1A1" w14:textId="77777777" w:rsidR="00000000" w:rsidRDefault="00162E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E7C" w14:textId="77777777" w:rsidR="00000000" w:rsidRDefault="00162E66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Limón y Puntarenas lideran la lista de provincias con más cantones naranjas</w:t>
            </w:r>
          </w:p>
          <w:p w14:paraId="36745273" w14:textId="77777777" w:rsidR="00000000" w:rsidRDefault="00162E6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2329C" wp14:editId="1DDC3C47">
                  <wp:extent cx="6122670" cy="4730750"/>
                  <wp:effectExtent l="0" t="0" r="0" b="0"/>
                  <wp:docPr id="1" name="Imagen 3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73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BD2BB" w14:textId="77777777" w:rsidR="00000000" w:rsidRDefault="00162E66">
            <w:pPr>
              <w:pStyle w:val="Prrafodelista"/>
              <w:spacing w:line="240" w:lineRule="auto"/>
              <w:ind w:right="310"/>
              <w:jc w:val="both"/>
              <w:rPr>
                <w:rFonts w:ascii="Arial" w:hAnsi="Arial" w:cs="Arial"/>
                <w:b/>
                <w:iCs/>
                <w:lang w:val="es-ES"/>
              </w:rPr>
            </w:pPr>
          </w:p>
          <w:p w14:paraId="3A201851" w14:textId="77777777" w:rsidR="00000000" w:rsidRDefault="00162E6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right="310"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lang w:val="es-ES"/>
              </w:rPr>
              <w:t xml:space="preserve">De los 16 gobiernos locales en alerta naranja, 6 están en Puntarenas y 5 en Limón. </w:t>
            </w:r>
          </w:p>
          <w:p w14:paraId="7C51A0BB" w14:textId="77777777" w:rsidR="00000000" w:rsidRDefault="00162E66">
            <w:pPr>
              <w:pStyle w:val="Prrafodelista"/>
              <w:ind w:right="310"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</w:p>
          <w:p w14:paraId="629026CF" w14:textId="77777777" w:rsidR="00000000" w:rsidRDefault="00162E6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b/>
                <w:iCs/>
                <w:lang w:val="es-ES"/>
              </w:rPr>
            </w:pPr>
            <w:r>
              <w:rPr>
                <w:rFonts w:ascii="Arial" w:hAnsi="Arial" w:cs="Arial"/>
                <w:b/>
                <w:bCs/>
              </w:rPr>
              <w:t xml:space="preserve">Los </w:t>
            </w:r>
            <w:r>
              <w:rPr>
                <w:rFonts w:ascii="Arial" w:hAnsi="Arial" w:cs="Arial"/>
                <w:b/>
                <w:bCs/>
              </w:rPr>
              <w:t xml:space="preserve">cantones de San José, Orotina, Parrita, Garabito y Matina suben a alerta naranja. </w:t>
            </w:r>
          </w:p>
          <w:p w14:paraId="4F2DBD39" w14:textId="77777777" w:rsidR="00000000" w:rsidRDefault="00162E66">
            <w:pPr>
              <w:jc w:val="both"/>
              <w:rPr>
                <w:rFonts w:ascii="Arial" w:hAnsi="Arial" w:cs="Arial"/>
                <w:b/>
                <w:iCs/>
              </w:rPr>
            </w:pPr>
          </w:p>
          <w:p w14:paraId="28C10E5F" w14:textId="77777777" w:rsidR="00000000" w:rsidRDefault="00162E6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714" w:right="312" w:hanging="357"/>
              <w:jc w:val="both"/>
              <w:rPr>
                <w:rFonts w:ascii="Arial" w:hAnsi="Arial" w:cs="Arial"/>
                <w:b/>
                <w:bCs/>
                <w:iCs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lang w:val="es-ES"/>
              </w:rPr>
              <w:t xml:space="preserve">En total, 16 cantones se mantienen en alerta naranja y 66 en alerta amarilla por casos de coronavirus. </w:t>
            </w:r>
          </w:p>
          <w:p w14:paraId="1151241D" w14:textId="77777777" w:rsidR="00000000" w:rsidRDefault="00162E66">
            <w:pPr>
              <w:pStyle w:val="Prrafodelista"/>
              <w:rPr>
                <w:rFonts w:ascii="Arial" w:hAnsi="Arial" w:cs="Arial"/>
                <w:b/>
                <w:bCs/>
                <w:iCs/>
                <w:lang w:val="es-ES"/>
              </w:rPr>
            </w:pPr>
          </w:p>
          <w:p w14:paraId="70E31897" w14:textId="77777777" w:rsidR="00000000" w:rsidRDefault="00162E66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right="2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Nuevos casos por semana de COVID -19 disminuyen en la mayor parte del país, alcanzando cifras similares a las registradas en julio de 2020.</w:t>
            </w:r>
          </w:p>
          <w:p w14:paraId="53335190" w14:textId="77777777" w:rsidR="00000000" w:rsidRDefault="00162E66">
            <w:pPr>
              <w:pStyle w:val="Prrafodelista"/>
              <w:rPr>
                <w:rFonts w:ascii="Arial" w:hAnsi="Arial" w:cs="Arial"/>
                <w:b/>
                <w:bCs/>
                <w:lang w:val="es-ES"/>
              </w:rPr>
            </w:pPr>
          </w:p>
          <w:p w14:paraId="72CCF320" w14:textId="77777777" w:rsidR="00000000" w:rsidRDefault="00162E66">
            <w:pPr>
              <w:pStyle w:val="Prrafodelista"/>
              <w:spacing w:after="0" w:line="276" w:lineRule="auto"/>
              <w:ind w:right="27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3B980F75" w14:textId="77777777" w:rsidR="00000000" w:rsidRDefault="00162E6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San José, 09 de febrero 2020. Este martes, </w:t>
            </w:r>
            <w:r>
              <w:rPr>
                <w:rFonts w:ascii="Arial" w:hAnsi="Arial" w:cs="Arial"/>
                <w:iCs/>
              </w:rPr>
              <w:t xml:space="preserve">la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Comisión Nacional de Prevención de Riesgos y Atención de Emergencias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elevó cinco cantones de alerta amarilla a alerta naranja por COVID-19: San José, Orotina, Parrita, Garabito y Matina.</w:t>
            </w:r>
          </w:p>
          <w:p w14:paraId="5395C6A8" w14:textId="77777777" w:rsidR="00000000" w:rsidRDefault="00162E6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Para esta semana, la localidad que mostró mayor incremento en el número de casos fue Garabito, ya que tuvo un aumento del 81% de casos po</w:t>
            </w:r>
            <w:r>
              <w:rPr>
                <w:rFonts w:ascii="Arial" w:hAnsi="Arial" w:cs="Arial"/>
                <w:iCs/>
              </w:rPr>
              <w:t xml:space="preserve">sitivos por COVID-19, pasando de 26 a 49 casos en las últimas dos semanas. </w:t>
            </w:r>
          </w:p>
          <w:p w14:paraId="33F2FBFD" w14:textId="77777777" w:rsidR="00000000" w:rsidRDefault="00162E6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Parrita, aunque registra menor número de casos, para las características del cantón y la densidad poblacional deberá mantenerse en Alerta Naranja con 21 casos en la última semana, </w:t>
            </w:r>
            <w:r>
              <w:rPr>
                <w:rFonts w:ascii="Arial" w:hAnsi="Arial" w:cs="Arial"/>
                <w:iCs/>
              </w:rPr>
              <w:t>una tendencia de casos que no ha logrado bajar.</w:t>
            </w:r>
          </w:p>
          <w:p w14:paraId="0BB9F467" w14:textId="77777777" w:rsidR="00000000" w:rsidRDefault="00162E6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En el caso del cantón de Matina en semana 03 reportó 42 nuevos casos, y en semana 05 reportó 51 nuevas personas positivas. </w:t>
            </w:r>
          </w:p>
          <w:p w14:paraId="77E1BE93" w14:textId="77777777" w:rsidR="00000000" w:rsidRDefault="00162E6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Además, el cantón central de San José vuelve a subir a </w:t>
            </w:r>
            <w:r>
              <w:rPr>
                <w:rStyle w:val="il"/>
                <w:rFonts w:ascii="Arial" w:hAnsi="Arial" w:cs="Arial"/>
                <w:color w:val="000000"/>
                <w:shd w:val="clear" w:color="auto" w:fill="FFFFFF"/>
              </w:rPr>
              <w:t xml:space="preserve">alerta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naranja después de cas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 tres meses. </w:t>
            </w:r>
          </w:p>
          <w:p w14:paraId="2A58FF38" w14:textId="77777777" w:rsidR="00000000" w:rsidRDefault="00162E66">
            <w:pPr>
              <w:shd w:val="clear" w:color="auto" w:fill="FFFFFF"/>
              <w:ind w:right="27"/>
              <w:jc w:val="both"/>
              <w:rPr>
                <w:rFonts w:ascii="Arial" w:hAnsi="Arial" w:cs="Arial"/>
                <w:color w:val="222222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En el caso de Puntarenas, sigue liderando la lista de provincias con más cantones en alerta naranja, con un total de 6 localidades. De esta manera, Puntarenas concentra un tercio de estas alertas, seguido por Limón con 5 cantones. </w:t>
            </w:r>
          </w:p>
          <w:p w14:paraId="3343DDE3" w14:textId="77777777" w:rsidR="00000000" w:rsidRDefault="00162E66">
            <w:pPr>
              <w:ind w:right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013836" wp14:editId="3AD63497">
                  <wp:extent cx="5311775" cy="2568575"/>
                  <wp:effectExtent l="0" t="0" r="3175" b="3175"/>
                  <wp:docPr id="2" name="Imagen 2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775" cy="256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41F70" w14:textId="77777777" w:rsidR="00000000" w:rsidRDefault="00162E66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Style w:val="Textoennegrita"/>
                <w:rFonts w:ascii="Arial" w:hAnsi="Arial" w:cs="Arial"/>
                <w:color w:val="202020"/>
                <w:sz w:val="20"/>
                <w:shd w:val="clear" w:color="auto" w:fill="FFFFFF"/>
              </w:rPr>
              <w:t>Pueden visitar el sitio </w:t>
            </w:r>
            <w:hyperlink r:id="rId9" w:history="1">
              <w:r>
                <w:rPr>
                  <w:rStyle w:val="Hipervnculo"/>
                  <w:rFonts w:ascii="Arial" w:hAnsi="Arial" w:cs="Arial"/>
                  <w:bCs/>
                  <w:color w:val="0843B8"/>
                  <w:sz w:val="20"/>
                  <w:shd w:val="clear" w:color="auto" w:fill="FFFFFF"/>
                </w:rPr>
                <w:t>http://presidencia.go.cr/alertas</w:t>
              </w:r>
            </w:hyperlink>
            <w:r>
              <w:rPr>
                <w:rStyle w:val="Textoennegrita"/>
                <w:rFonts w:ascii="Arial" w:hAnsi="Arial" w:cs="Arial"/>
                <w:color w:val="202020"/>
                <w:sz w:val="20"/>
                <w:shd w:val="clear" w:color="auto" w:fill="FFFFFF"/>
              </w:rPr>
              <w:t> para conocer las alertas, medidas y restricciones implementadas en su cantón.  </w:t>
            </w:r>
          </w:p>
          <w:p w14:paraId="2C56DA97" w14:textId="77777777" w:rsidR="00000000" w:rsidRDefault="00162E66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Siete cantones con tendencia a la baja</w:t>
            </w:r>
          </w:p>
          <w:p w14:paraId="1B0C9099" w14:textId="77777777" w:rsidR="00000000" w:rsidRDefault="00162E6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De los siete catones que bajan </w:t>
            </w:r>
            <w:r>
              <w:rPr>
                <w:rFonts w:ascii="Arial" w:hAnsi="Arial" w:cs="Arial"/>
                <w:iCs/>
              </w:rPr>
              <w:t>a alerta amarilla, 4 de ellos están en la provincia de Alajuela: Grecia, Naranjo, Zarcero y Guatuso. Los otros tres cantones son Moravia, Vázquez de Coronado y el cantón de Osa en Puntarenas.</w:t>
            </w:r>
          </w:p>
          <w:p w14:paraId="4C140AD5" w14:textId="77777777" w:rsidR="00000000" w:rsidRDefault="00162E6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Vázquez de Coronado inició el año con más de 160 casos por seman</w:t>
            </w:r>
            <w:r>
              <w:rPr>
                <w:rFonts w:ascii="Arial" w:hAnsi="Arial" w:cs="Arial"/>
                <w:iCs/>
              </w:rPr>
              <w:t>a, y en febrero logró bajar la cantidad de casos a menos de 20 por semana. Situación similar se dio en Osa de Puntarenas, quien en la semana 01 reportó alrededor de 100 y también logró una cifra menor a los 20 casos, gracias al trabajo de prevención y cont</w:t>
            </w:r>
            <w:r>
              <w:rPr>
                <w:rFonts w:ascii="Arial" w:hAnsi="Arial" w:cs="Arial"/>
                <w:iCs/>
              </w:rPr>
              <w:t>ención del virus.</w:t>
            </w:r>
          </w:p>
          <w:p w14:paraId="37F071A2" w14:textId="77777777" w:rsidR="00000000" w:rsidRDefault="00162E66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Disminución de nuevos casos</w:t>
            </w:r>
          </w:p>
          <w:p w14:paraId="1E442F0B" w14:textId="77777777" w:rsidR="00000000" w:rsidRDefault="00162E6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Según la información que recopila y procesa la Sala de Análisis de la Situación Nacional se ha logrado evidenciar una disminución de nuevos casos de coronavirus principalmente, desde la primera semana epidemiol</w:t>
            </w:r>
            <w:r>
              <w:rPr>
                <w:rFonts w:ascii="Arial" w:hAnsi="Arial" w:cs="Arial"/>
                <w:iCs/>
              </w:rPr>
              <w:t xml:space="preserve">ógica de este año. Aun así hay algunos territorios que aún mantienen cifras altas de casos o bien su descenso de nuevos casos se da de manera lenta. </w:t>
            </w:r>
          </w:p>
          <w:p w14:paraId="38CD6EA5" w14:textId="77777777" w:rsidR="00000000" w:rsidRDefault="00162E6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El uso correcto de la mascarilla o cubrebocas y el buen cumplimiento de los protocolos sanitarios han perm</w:t>
            </w:r>
            <w:r>
              <w:rPr>
                <w:rFonts w:ascii="Arial" w:hAnsi="Arial" w:cs="Arial"/>
                <w:iCs/>
              </w:rPr>
              <w:t xml:space="preserve">itido que se genere una caída del comportamiento del </w:t>
            </w:r>
            <w:r>
              <w:rPr>
                <w:rFonts w:ascii="Arial" w:hAnsi="Arial" w:cs="Arial"/>
                <w:iCs/>
              </w:rPr>
              <w:lastRenderedPageBreak/>
              <w:t>virus, no obstante, las autoridades sanitarias son enfáticas al pedir a la población que no dejen el autocuidado ni las prácticas para cuidar a sus burbujas. En la reciente semana, se cerró con 3092 caso</w:t>
            </w:r>
            <w:r>
              <w:rPr>
                <w:rFonts w:ascii="Arial" w:hAnsi="Arial" w:cs="Arial"/>
                <w:iCs/>
              </w:rPr>
              <w:t>s, una cifra similar a la semana epidemiológica 29 (julio del 2020).</w:t>
            </w:r>
          </w:p>
          <w:p w14:paraId="3C1A8BE1" w14:textId="77777777" w:rsidR="00000000" w:rsidRDefault="00162E6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“El esfuerzo de muchos meses ha dado resultado para las primeras semanas del 2021, para continuar generando ese impacto positivo, hay que reforzar la responsabilidad individual en aras de</w:t>
            </w:r>
            <w:r>
              <w:rPr>
                <w:rFonts w:ascii="Arial" w:hAnsi="Arial" w:cs="Arial"/>
                <w:iCs/>
              </w:rPr>
              <w:t xml:space="preserve"> salvaguardar la integridad y la salud pública”, argumentó Alexander Solís, presidente de la Comisión Nacional de Prevención de Riesgos y Atención de Emergencias.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BB5" w14:textId="77777777" w:rsidR="00000000" w:rsidRDefault="00162E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051D590E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230" w14:textId="77777777" w:rsidR="00000000" w:rsidRDefault="00162E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14F" w14:textId="77777777" w:rsidR="00000000" w:rsidRDefault="00162E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48A" w14:textId="77777777" w:rsidR="00000000" w:rsidRDefault="00162E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141" w14:textId="77777777" w:rsidR="00000000" w:rsidRDefault="00162E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C67" w14:textId="77777777" w:rsidR="00000000" w:rsidRDefault="00162E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153" w14:textId="77777777" w:rsidR="00000000" w:rsidRDefault="00162E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51EE10C7" w14:textId="77777777" w:rsidR="00000000" w:rsidRDefault="00162E66">
      <w:pPr>
        <w:rPr>
          <w:rFonts w:ascii="Arial" w:hAnsi="Arial" w:cs="Arial"/>
          <w:bCs/>
          <w:sz w:val="24"/>
          <w:szCs w:val="24"/>
          <w:lang w:val="es-ES"/>
        </w:rPr>
      </w:pPr>
    </w:p>
    <w:p w14:paraId="35067FF4" w14:textId="77777777" w:rsidR="00000000" w:rsidRDefault="00162E66">
      <w:pPr>
        <w:rPr>
          <w:rFonts w:ascii="Arial" w:hAnsi="Arial" w:cs="Arial"/>
          <w:bCs/>
          <w:sz w:val="24"/>
          <w:szCs w:val="24"/>
          <w:lang w:val="es-ES"/>
        </w:rPr>
      </w:pPr>
    </w:p>
    <w:p w14:paraId="55678F6D" w14:textId="77777777" w:rsidR="00000000" w:rsidRDefault="00162E66">
      <w:pPr>
        <w:rPr>
          <w:rFonts w:ascii="Arial" w:hAnsi="Arial" w:cs="Arial"/>
          <w:bCs/>
          <w:sz w:val="24"/>
          <w:szCs w:val="24"/>
          <w:lang w:val="es-ES"/>
        </w:rPr>
      </w:pPr>
    </w:p>
    <w:p w14:paraId="00F635FF" w14:textId="77777777" w:rsidR="00000000" w:rsidRDefault="00162E66">
      <w:pPr>
        <w:rPr>
          <w:lang w:val="es-ES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F0C6" w14:textId="77777777" w:rsidR="00000000" w:rsidRDefault="00162E66">
      <w:pPr>
        <w:spacing w:after="0" w:line="240" w:lineRule="auto"/>
      </w:pPr>
      <w:r>
        <w:separator/>
      </w:r>
    </w:p>
  </w:endnote>
  <w:endnote w:type="continuationSeparator" w:id="0">
    <w:p w14:paraId="38EE8E77" w14:textId="77777777" w:rsidR="00000000" w:rsidRDefault="001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5331" w14:textId="77777777" w:rsidR="00000000" w:rsidRDefault="00162E66">
      <w:pPr>
        <w:spacing w:after="0" w:line="240" w:lineRule="auto"/>
      </w:pPr>
      <w:r>
        <w:separator/>
      </w:r>
    </w:p>
  </w:footnote>
  <w:footnote w:type="continuationSeparator" w:id="0">
    <w:p w14:paraId="16A8627B" w14:textId="77777777" w:rsidR="00000000" w:rsidRDefault="0016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F8F2" w14:textId="77777777" w:rsidR="00000000" w:rsidRDefault="00162E66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4E7A"/>
    <w:multiLevelType w:val="hybridMultilevel"/>
    <w:tmpl w:val="D13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6010">
    <w:abstractNumId w:val="0"/>
  </w:num>
  <w:num w:numId="2" w16cid:durableId="8827189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66"/>
    <w:rsid w:val="001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A45602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il">
    <w:name w:val="il"/>
    <w:basedOn w:val="Fuentedeprrafopredeter"/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esidencia.go.cr/alerta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2022-05-13T20:21:00Z</dcterms:created>
  <dcterms:modified xsi:type="dcterms:W3CDTF">2022-05-13T20:21:00Z</dcterms:modified>
</cp:coreProperties>
</file>