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937"/>
        <w:gridCol w:w="2972"/>
        <w:gridCol w:w="2939"/>
        <w:gridCol w:w="485"/>
        <w:gridCol w:w="220"/>
      </w:tblGrid>
      <w:tr w:rsidR="00000000" w14:paraId="36721D3F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446C" w14:textId="77777777" w:rsidR="00000000" w:rsidRDefault="003A085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E502" w14:textId="77777777" w:rsidR="00000000" w:rsidRDefault="003A0852">
            <w:pPr>
              <w:pStyle w:val="Ttulo1"/>
              <w:jc w:val="center"/>
              <w:rPr>
                <w:rFonts w:eastAsia="Arial"/>
                <w:lang w:eastAsia="es-ES"/>
              </w:rPr>
            </w:pPr>
            <w:r>
              <w:rPr>
                <w:rFonts w:eastAsia="Arial"/>
                <w:lang w:eastAsia="es-ES"/>
              </w:rPr>
              <w:t>Líderes en Santa Ana se destacan en</w:t>
            </w:r>
            <w:r>
              <w:rPr>
                <w:lang w:eastAsia="es-ES"/>
              </w:rPr>
              <w:t xml:space="preserve"> </w:t>
            </w:r>
            <w:r>
              <w:rPr>
                <w:rFonts w:eastAsia="Arial"/>
                <w:lang w:eastAsia="es-ES"/>
              </w:rPr>
              <w:t>la lucha contra el COVID-19</w:t>
            </w:r>
          </w:p>
          <w:p w14:paraId="0A6F6EA6" w14:textId="77777777" w:rsidR="00000000" w:rsidRDefault="003A0852">
            <w:pPr>
              <w:spacing w:line="25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Arial" w:hAnsi="Times New Roman" w:cs="Times New Roman"/>
                <w:b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1CFAE391" wp14:editId="5FF8FF27">
                  <wp:extent cx="6122670" cy="6114415"/>
                  <wp:effectExtent l="0" t="0" r="0" b="635"/>
                  <wp:docPr id="1" name="Imagen 1" descr="Un grupo de personas alrededor de una mesa con un paraguas rosa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Un grupo de personas alrededor de una mesa con un paraguas rosa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670" cy="611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F47F96" w14:textId="77777777" w:rsidR="00000000" w:rsidRDefault="003A0852">
            <w:pPr>
              <w:numPr>
                <w:ilvl w:val="0"/>
                <w:numId w:val="3"/>
              </w:numPr>
              <w:spacing w:line="256" w:lineRule="auto"/>
              <w:contextualSpacing/>
              <w:jc w:val="both"/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i/>
                <w:iCs/>
                <w:szCs w:val="32"/>
                <w:lang w:eastAsia="es-ES"/>
              </w:rPr>
              <w:t>Vecinos se han organizado para ayudar a las familias mediante la entrega de diarios y artículos de higiene personal</w:t>
            </w:r>
          </w:p>
          <w:p w14:paraId="11CFA0EB" w14:textId="77777777" w:rsidR="00000000" w:rsidRDefault="003A0852">
            <w:pPr>
              <w:numPr>
                <w:ilvl w:val="0"/>
                <w:numId w:val="3"/>
              </w:numPr>
              <w:spacing w:line="256" w:lineRule="auto"/>
              <w:contextualSpacing/>
              <w:jc w:val="both"/>
              <w:rPr>
                <w:rFonts w:ascii="Arial" w:eastAsia="Arial" w:hAnsi="Arial" w:cs="Arial"/>
                <w:i/>
                <w:iCs/>
                <w:szCs w:val="32"/>
                <w:lang w:eastAsia="es-ES"/>
              </w:rPr>
            </w:pPr>
            <w:r>
              <w:rPr>
                <w:rFonts w:ascii="Arial" w:eastAsia="Arial" w:hAnsi="Arial" w:cs="Arial"/>
                <w:i/>
                <w:iCs/>
                <w:szCs w:val="32"/>
                <w:lang w:eastAsia="es-ES"/>
              </w:rPr>
              <w:t xml:space="preserve">CME de Santa Ana </w:t>
            </w:r>
            <w:r>
              <w:rPr>
                <w:rFonts w:ascii="Arial" w:eastAsia="Arial" w:hAnsi="Arial" w:cs="Arial"/>
                <w:i/>
                <w:iCs/>
                <w:szCs w:val="32"/>
                <w:lang w:eastAsia="es-ES"/>
              </w:rPr>
              <w:t>apoyan las iniciativas mediante la producción de materiales para sus campañas de concientización</w:t>
            </w:r>
          </w:p>
          <w:p w14:paraId="655D21EC" w14:textId="77777777" w:rsidR="00000000" w:rsidRDefault="003A0852">
            <w:pPr>
              <w:numPr>
                <w:ilvl w:val="0"/>
                <w:numId w:val="3"/>
              </w:numPr>
              <w:spacing w:line="256" w:lineRule="auto"/>
              <w:contextualSpacing/>
              <w:jc w:val="both"/>
              <w:rPr>
                <w:rFonts w:ascii="Arial" w:eastAsia="Arial" w:hAnsi="Arial" w:cs="Arial"/>
                <w:i/>
                <w:iCs/>
                <w:szCs w:val="32"/>
                <w:lang w:eastAsia="es-ES"/>
              </w:rPr>
            </w:pPr>
            <w:r>
              <w:rPr>
                <w:rFonts w:ascii="Arial" w:eastAsia="Arial" w:hAnsi="Arial" w:cs="Arial"/>
                <w:i/>
                <w:iCs/>
                <w:szCs w:val="32"/>
                <w:lang w:eastAsia="es-ES"/>
              </w:rPr>
              <w:t>CNE mantiene las visitas a los Comités Municipales de Emergencia y comunidades para verificar la aplicación del Modelo de Gestión Compartida: Costa Rica trabaj</w:t>
            </w:r>
            <w:r>
              <w:rPr>
                <w:rFonts w:ascii="Arial" w:eastAsia="Arial" w:hAnsi="Arial" w:cs="Arial"/>
                <w:i/>
                <w:iCs/>
                <w:szCs w:val="32"/>
                <w:lang w:eastAsia="es-ES"/>
              </w:rPr>
              <w:t>a y se cuida</w:t>
            </w:r>
          </w:p>
          <w:p w14:paraId="40EB50AC" w14:textId="77777777" w:rsidR="00000000" w:rsidRDefault="003A0852">
            <w:pPr>
              <w:spacing w:line="256" w:lineRule="auto"/>
              <w:jc w:val="both"/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36"/>
                <w:lang w:eastAsia="es-ES"/>
              </w:rPr>
              <w:t>San José, 23 de enero del 2021</w:t>
            </w:r>
            <w:r>
              <w:rPr>
                <w:rFonts w:ascii="Arial" w:eastAsia="Arial" w:hAnsi="Arial" w:cs="Arial"/>
                <w:b/>
                <w:bCs/>
                <w:sz w:val="20"/>
                <w:szCs w:val="36"/>
                <w:lang w:eastAsia="es-ES"/>
              </w:rPr>
              <w:t>.</w:t>
            </w:r>
            <w:r>
              <w:rPr>
                <w:rFonts w:ascii="Arial" w:eastAsia="Arial" w:hAnsi="Arial" w:cs="Arial"/>
                <w:sz w:val="20"/>
                <w:szCs w:val="36"/>
                <w:lang w:eastAsia="es-ES"/>
              </w:rPr>
              <w:t xml:space="preserve">  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 xml:space="preserve">Desde que se registraron los primeros casos por COVID-19, las comunidades de Santa Ana “tomaron las riendas” y se organizaron por su cuenta para atender las diferentes 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lastRenderedPageBreak/>
              <w:t>fases de la emergencia desde la prevención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, la asistencia humanitaria hasta el apoyo psicosocial.</w:t>
            </w:r>
          </w:p>
          <w:p w14:paraId="1E82AC94" w14:textId="77777777" w:rsidR="00000000" w:rsidRDefault="003A0852">
            <w:pPr>
              <w:spacing w:line="256" w:lineRule="auto"/>
              <w:jc w:val="both"/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A hoy, en el cantón hay 22 comunidades que trabajan de la mano con el Comité Municipal de Emergencia, incluso tienen alta comunicación con plataformas de WhatsApp para hacer que los mensajes preventiv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os fluyan de manera más ágil y directa entre los vecinos.</w:t>
            </w:r>
          </w:p>
          <w:p w14:paraId="1623784B" w14:textId="77777777" w:rsidR="00000000" w:rsidRDefault="003A0852">
            <w:pPr>
              <w:spacing w:line="256" w:lineRule="auto"/>
              <w:jc w:val="both"/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Estas comunidades han tomado la iniciativa de ser las primeras respondedoras a la emergencia por el COVID-19, y quienes elevan al Comité Municipal de Emergencia los requerimientos técnicos para avan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zar en sus planes de atención, pues tienen un mayor conocimiento de la realidad del cantón, sus distritos y sus barrios desde las bases.</w:t>
            </w:r>
          </w:p>
          <w:p w14:paraId="69CA9682" w14:textId="77777777" w:rsidR="00000000" w:rsidRDefault="003A0852">
            <w:pPr>
              <w:spacing w:line="256" w:lineRule="auto"/>
              <w:jc w:val="both"/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“Recalcamos el trabajo de los Comités Comunales de Emergencia y otros grupos organizados en su respuesta inmediata a la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 xml:space="preserve"> emergencia sanitaria. Ellos nos ayudan a reforzar los mensajes de autocuidado y el principio de la responsabilidad”, comentó Sigifredo Pérez, Director de Gestión de Riesgos de la CNE.</w:t>
            </w:r>
          </w:p>
          <w:p w14:paraId="1BFCDB16" w14:textId="77777777" w:rsidR="00000000" w:rsidRDefault="003A0852">
            <w:pPr>
              <w:spacing w:line="256" w:lineRule="auto"/>
              <w:jc w:val="both"/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Pérez destacó que estos grupos de vecinos y fuerzas vivas de la comunid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ad han ayudado a identificar casos positivos y coordinar insumos de primera necesidad para familias con órdenes sanitarias o en condiciones de desempleo.</w:t>
            </w:r>
          </w:p>
          <w:p w14:paraId="4E6D9702" w14:textId="77777777" w:rsidR="00000000" w:rsidRDefault="003A0852">
            <w:pPr>
              <w:spacing w:line="256" w:lineRule="auto"/>
              <w:jc w:val="center"/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noProof/>
                <w:sz w:val="24"/>
                <w:szCs w:val="44"/>
                <w:lang w:eastAsia="es-ES"/>
              </w:rPr>
              <w:lastRenderedPageBreak/>
              <w:drawing>
                <wp:inline distT="0" distB="0" distL="0" distR="0" wp14:anchorId="6E615976" wp14:editId="27B207BE">
                  <wp:extent cx="5438775" cy="5438775"/>
                  <wp:effectExtent l="0" t="0" r="9525" b="9525"/>
                  <wp:docPr id="2" name="Imagen 2" descr="Calendario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Calendario&#10;&#10;Descripción generada automáticamente con confianza b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8775" cy="543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471485" w14:textId="77777777" w:rsidR="00000000" w:rsidRDefault="003A0852">
            <w:pPr>
              <w:spacing w:line="256" w:lineRule="auto"/>
              <w:jc w:val="both"/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 xml:space="preserve">“Hemos logrado articular todas las comunidades que ya han sido capacitadas en temas de prevención y 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hemos dado énfasis especial en la gestión de riesgo. Tenemos 22 comunidades enlazadas con el CME donde nos nutrimos de forma direccional en todas las gestiones por el COVID-19”, explicó Laura Carmiol, Vicealcaldesa y representante del CME de Santa Ana.</w:t>
            </w:r>
          </w:p>
          <w:p w14:paraId="0AEB28A2" w14:textId="77777777" w:rsidR="00000000" w:rsidRDefault="003A0852">
            <w:pPr>
              <w:spacing w:line="256" w:lineRule="auto"/>
              <w:jc w:val="both"/>
              <w:rPr>
                <w:rFonts w:ascii="Arial" w:eastAsia="Arial" w:hAnsi="Arial" w:cs="Arial"/>
                <w:b/>
                <w:bCs/>
                <w:szCs w:val="40"/>
                <w:u w:val="single"/>
                <w:lang w:eastAsia="es-ES"/>
              </w:rPr>
            </w:pPr>
            <w:r>
              <w:rPr>
                <w:rFonts w:ascii="Arial" w:eastAsia="Arial" w:hAnsi="Arial" w:cs="Arial"/>
                <w:b/>
                <w:bCs/>
                <w:szCs w:val="40"/>
                <w:u w:val="single"/>
                <w:lang w:eastAsia="es-ES"/>
              </w:rPr>
              <w:t>Vec</w:t>
            </w:r>
            <w:r>
              <w:rPr>
                <w:rFonts w:ascii="Arial" w:eastAsia="Arial" w:hAnsi="Arial" w:cs="Arial"/>
                <w:b/>
                <w:bCs/>
                <w:szCs w:val="40"/>
                <w:u w:val="single"/>
                <w:lang w:eastAsia="es-ES"/>
              </w:rPr>
              <w:t xml:space="preserve">inos forman grupo LINDORA COVID-19 </w:t>
            </w:r>
          </w:p>
          <w:p w14:paraId="7A827B0E" w14:textId="77777777" w:rsidR="00000000" w:rsidRDefault="003A0852">
            <w:pPr>
              <w:spacing w:line="256" w:lineRule="auto"/>
              <w:jc w:val="both"/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 xml:space="preserve">Zayda Valverde lideresa de la Asociación de Desarrollo de Lagos de Lindora explicó que en la misma comunidad se organizó e integraron el grupo </w:t>
            </w:r>
            <w:r>
              <w:rPr>
                <w:rFonts w:ascii="Arial" w:eastAsia="Arial" w:hAnsi="Arial" w:cs="Arial"/>
                <w:b/>
                <w:bCs/>
                <w:sz w:val="24"/>
                <w:szCs w:val="44"/>
                <w:lang w:eastAsia="es-ES"/>
              </w:rPr>
              <w:t>LINDORA COVID-19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, compuesto además por miembros de seguridad comunitaria y la iglesia católica.</w:t>
            </w:r>
          </w:p>
          <w:p w14:paraId="7AB7CEBB" w14:textId="77777777" w:rsidR="00000000" w:rsidRDefault="003A0852">
            <w:pPr>
              <w:spacing w:line="256" w:lineRule="auto"/>
              <w:jc w:val="both"/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Este grupo organizó campañas para recolectar mascarillas, productos de limpieza e higiene para entregarlos a las personas positivas por COVID-19. También crearon chats y una pá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gina en Facebook, en la que incluso motivaron a los niños a realizar juegos tradicionales dentro de su casa.</w:t>
            </w:r>
          </w:p>
          <w:p w14:paraId="7882C581" w14:textId="77777777" w:rsidR="00000000" w:rsidRDefault="003A0852">
            <w:pPr>
              <w:spacing w:line="256" w:lineRule="auto"/>
              <w:jc w:val="both"/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Otra iniciativa es los “Vecinos centinela”, en donde se definieron personas que fungían como guardianes de grupos pequeños de hogares para identifi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car necesidades en las familias.</w:t>
            </w:r>
          </w:p>
          <w:p w14:paraId="4BDFE385" w14:textId="77777777" w:rsidR="00000000" w:rsidRDefault="003A0852">
            <w:pPr>
              <w:spacing w:line="256" w:lineRule="auto"/>
              <w:jc w:val="both"/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noProof/>
                <w:sz w:val="24"/>
                <w:szCs w:val="44"/>
                <w:lang w:eastAsia="es-ES"/>
              </w:rPr>
              <w:drawing>
                <wp:inline distT="0" distB="0" distL="0" distR="0" wp14:anchorId="73DFD1DF" wp14:editId="6C834DA6">
                  <wp:extent cx="5430520" cy="4070985"/>
                  <wp:effectExtent l="0" t="0" r="0" b="571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0520" cy="407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283051" w14:textId="77777777" w:rsidR="00000000" w:rsidRDefault="003A0852">
            <w:pPr>
              <w:spacing w:line="256" w:lineRule="auto"/>
              <w:jc w:val="both"/>
              <w:rPr>
                <w:rFonts w:ascii="Arial" w:eastAsia="Arial" w:hAnsi="Arial" w:cs="Arial"/>
                <w:b/>
                <w:bCs/>
                <w:szCs w:val="40"/>
                <w:u w:val="single"/>
                <w:lang w:eastAsia="es-ES"/>
              </w:rPr>
            </w:pPr>
            <w:r>
              <w:rPr>
                <w:rFonts w:ascii="Arial" w:eastAsia="Arial" w:hAnsi="Arial" w:cs="Arial"/>
                <w:b/>
                <w:bCs/>
                <w:szCs w:val="40"/>
                <w:u w:val="single"/>
                <w:lang w:eastAsia="es-ES"/>
              </w:rPr>
              <w:t>Brasil de Santa Ana se suma a la lucha contra el coronavirus</w:t>
            </w:r>
          </w:p>
          <w:p w14:paraId="0BD28CD0" w14:textId="77777777" w:rsidR="00000000" w:rsidRDefault="003A0852">
            <w:pPr>
              <w:spacing w:line="256" w:lineRule="auto"/>
              <w:jc w:val="both"/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 xml:space="preserve">José Guadamuz, presidente de la Asociación de Desarrollo de Brasil de 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Santa Ana realizó una serie de talleres virtuales para acompañar a los adultos mayores durante el confinamiento en sus hogares.  Eso fue parte de sus estrategias de apoyo psicosocial, en las que también realizaron actividades para estimular el dibujo en lo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s niños como parte de las terapias de salud mental.</w:t>
            </w:r>
          </w:p>
          <w:p w14:paraId="2770C4EE" w14:textId="77777777" w:rsidR="00000000" w:rsidRDefault="003A0852">
            <w:pPr>
              <w:spacing w:line="256" w:lineRule="auto"/>
              <w:jc w:val="both"/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Además, para las amas de casa impulsaron talleres de siembra de tubérculos y vegetales en sus hogares. “aplicamos estas y otras técnicas para motivar a que los vecinos saliera adelante”, expresó Guadamuz.</w:t>
            </w:r>
          </w:p>
          <w:p w14:paraId="2C3FAF3C" w14:textId="77777777" w:rsidR="00000000" w:rsidRDefault="003A0852">
            <w:pPr>
              <w:spacing w:line="256" w:lineRule="auto"/>
              <w:jc w:val="both"/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También, dieron un apoyo a otros vecinos mediante una campaña de recolección de mascarillas para personas de bajos recursos de las comunidades y donación de alimentos y kits de limpieza.</w:t>
            </w:r>
          </w:p>
          <w:p w14:paraId="2232634C" w14:textId="77777777" w:rsidR="00000000" w:rsidRDefault="003A0852">
            <w:pPr>
              <w:spacing w:line="256" w:lineRule="auto"/>
              <w:jc w:val="both"/>
              <w:rPr>
                <w:rFonts w:ascii="Arial" w:eastAsia="Arial" w:hAnsi="Arial" w:cs="Arial"/>
                <w:b/>
                <w:bCs/>
                <w:szCs w:val="40"/>
                <w:u w:val="single"/>
                <w:lang w:eastAsia="es-ES"/>
              </w:rPr>
            </w:pPr>
            <w:r>
              <w:rPr>
                <w:rFonts w:ascii="Arial" w:eastAsia="Arial" w:hAnsi="Arial" w:cs="Arial"/>
                <w:b/>
                <w:bCs/>
                <w:szCs w:val="40"/>
                <w:u w:val="single"/>
                <w:lang w:eastAsia="es-ES"/>
              </w:rPr>
              <w:t>¡Coalición La Chispe dice presente!</w:t>
            </w:r>
          </w:p>
          <w:p w14:paraId="02180D91" w14:textId="77777777" w:rsidR="00000000" w:rsidRDefault="003A0852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Coalición La Chispa lideró ca</w:t>
            </w:r>
            <w:r>
              <w:rPr>
                <w:rFonts w:ascii="Arial" w:hAnsi="Arial" w:cs="Arial"/>
                <w:sz w:val="24"/>
                <w:szCs w:val="24"/>
              </w:rPr>
              <w:t>mpañas de perifoneo, mensajes en redes sociales; así como campañas para recolección de alimentos, mascarillas e insumos para la limpieza y desinfección en los hogares.</w:t>
            </w:r>
          </w:p>
          <w:p w14:paraId="6FCD1491" w14:textId="77777777" w:rsidR="00000000" w:rsidRDefault="003A0852">
            <w:pPr>
              <w:spacing w:line="256" w:lineRule="auto"/>
              <w:jc w:val="both"/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La comunidad es quien conoce más, de allí la importancia de consultarles sobre como diri</w:t>
            </w:r>
            <w:r>
              <w:rPr>
                <w:rFonts w:ascii="Arial" w:hAnsi="Arial" w:cs="Arial"/>
                <w:sz w:val="24"/>
                <w:szCs w:val="24"/>
              </w:rPr>
              <w:t>gir las estrategias de cómo abordar a la población “Entre todos ayudarnos y nos cuidamos”, mencionó Flor Leitón Herrera, Comunidad de La Chispa en Pozos de Santa Ana, presidenta del grupo Coalición la Chispa.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 xml:space="preserve"> </w:t>
            </w:r>
          </w:p>
          <w:p w14:paraId="299AF4EB" w14:textId="77777777" w:rsidR="00000000" w:rsidRDefault="003A0852">
            <w:pPr>
              <w:spacing w:line="256" w:lineRule="auto"/>
              <w:jc w:val="both"/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Liliana Álvarez de la Unión Cantonal de Asocia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 xml:space="preserve">ciones Santa Ana, destacó el trabajo en equipo, el respaldo de la Municipalidad y la buena voluntad de las representaciones comunales. “Hemos colaborado con megafoneos, publicidad, redes sociales, nos hemos unido para colaborar con todas aquellas personas 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que en nuestra comunidad lo han necesitado”.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97B0" w14:textId="77777777" w:rsidR="00000000" w:rsidRDefault="003A085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 w14:paraId="6A209F0A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B95A" w14:textId="77777777" w:rsidR="00000000" w:rsidRDefault="003A085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85C3" w14:textId="77777777" w:rsidR="00000000" w:rsidRDefault="003A085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8266" w14:textId="77777777" w:rsidR="00000000" w:rsidRDefault="003A085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66DD" w14:textId="77777777" w:rsidR="00000000" w:rsidRDefault="003A085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DDAA" w14:textId="77777777" w:rsidR="00000000" w:rsidRDefault="003A085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9122" w14:textId="77777777" w:rsidR="00000000" w:rsidRDefault="003A085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bookmarkEnd w:id="0"/>
    </w:tbl>
    <w:p w14:paraId="00822CBC" w14:textId="77777777" w:rsidR="00000000" w:rsidRDefault="003A0852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2BE"/>
    <w:multiLevelType w:val="multilevel"/>
    <w:tmpl w:val="289A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C13702"/>
    <w:multiLevelType w:val="hybridMultilevel"/>
    <w:tmpl w:val="F4E0F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902383">
    <w:abstractNumId w:val="0"/>
  </w:num>
  <w:num w:numId="2" w16cid:durableId="1426608023">
    <w:abstractNumId w:val="1"/>
  </w:num>
  <w:num w:numId="3" w16cid:durableId="61803306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852"/>
    <w:rsid w:val="003A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285BD84B"/>
  <w15:chartTrackingRefBased/>
  <w15:docId w15:val="{4EAFB22B-3936-45AE-B77D-81F2223D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  <w:lang w:val="es-CR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2022-05-13T20:21:00Z</dcterms:created>
  <dcterms:modified xsi:type="dcterms:W3CDTF">2022-05-13T20:21:00Z</dcterms:modified>
</cp:coreProperties>
</file>