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937"/>
        <w:gridCol w:w="2972"/>
        <w:gridCol w:w="2939"/>
        <w:gridCol w:w="485"/>
        <w:gridCol w:w="220"/>
      </w:tblGrid>
      <w:tr w:rsidR="00000000" w14:paraId="21DC1CDB" w14:textId="77777777">
        <w:tc>
          <w:tcPr>
            <w:tcW w:w="270" w:type="dxa"/>
            <w:tcBorders>
              <w:top w:val="single" w:sz="4" w:space="0" w:color="auto"/>
              <w:left w:val="single" w:sz="4" w:space="0" w:color="auto"/>
              <w:bottom w:val="single" w:sz="4" w:space="0" w:color="auto"/>
              <w:right w:val="single" w:sz="4" w:space="0" w:color="auto"/>
            </w:tcBorders>
          </w:tcPr>
          <w:p w14:paraId="45F89D89" w14:textId="77777777" w:rsidR="00000000" w:rsidRDefault="00BB53D1">
            <w:pPr>
              <w:spacing w:after="0" w:line="240" w:lineRule="auto"/>
              <w:rPr>
                <w:rFonts w:ascii="Arial" w:hAnsi="Arial" w:cs="Arial"/>
                <w:bCs/>
                <w:color w:val="000000"/>
                <w:sz w:val="24"/>
                <w:szCs w:val="24"/>
                <w:lang w:eastAsia="es-CR"/>
              </w:rPr>
            </w:pPr>
            <w:bookmarkStart w:id="0" w:name="_Hlk55638375"/>
          </w:p>
        </w:tc>
        <w:tc>
          <w:tcPr>
            <w:tcW w:w="7569" w:type="dxa"/>
            <w:gridSpan w:val="4"/>
            <w:tcBorders>
              <w:top w:val="single" w:sz="4" w:space="0" w:color="auto"/>
              <w:left w:val="single" w:sz="4" w:space="0" w:color="auto"/>
              <w:bottom w:val="single" w:sz="4" w:space="0" w:color="auto"/>
              <w:right w:val="single" w:sz="4" w:space="0" w:color="auto"/>
            </w:tcBorders>
          </w:tcPr>
          <w:p w14:paraId="6DC06343" w14:textId="77777777" w:rsidR="00000000" w:rsidRDefault="00BB53D1">
            <w:pPr>
              <w:pStyle w:val="Ttulo1"/>
              <w:jc w:val="center"/>
              <w:rPr>
                <w:b/>
                <w:bCs/>
              </w:rPr>
            </w:pPr>
            <w:r>
              <w:rPr>
                <w:b/>
                <w:bCs/>
              </w:rPr>
              <w:t>Inversión de la CNE permite a vecinos de El Silencio contar con muro de contención</w:t>
            </w:r>
          </w:p>
          <w:p w14:paraId="08AD0105" w14:textId="77777777" w:rsidR="00000000" w:rsidRDefault="00BB53D1">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750CE177" wp14:editId="0A3281E1">
                  <wp:extent cx="6122670" cy="4580255"/>
                  <wp:effectExtent l="0" t="0" r="0" b="0"/>
                  <wp:docPr id="1" name="Imagen 1" descr="Un campo de tier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campo de tierra&#10;&#10;Descripción generada automáticamente con confianza baj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2670" cy="4580255"/>
                          </a:xfrm>
                          <a:prstGeom prst="rect">
                            <a:avLst/>
                          </a:prstGeom>
                          <a:noFill/>
                          <a:ln>
                            <a:noFill/>
                          </a:ln>
                        </pic:spPr>
                      </pic:pic>
                    </a:graphicData>
                  </a:graphic>
                </wp:inline>
              </w:drawing>
            </w:r>
          </w:p>
          <w:p w14:paraId="700CE412" w14:textId="77777777" w:rsidR="00000000" w:rsidRDefault="00BB53D1">
            <w:pPr>
              <w:pStyle w:val="Prrafodelista"/>
              <w:numPr>
                <w:ilvl w:val="0"/>
                <w:numId w:val="2"/>
              </w:numPr>
              <w:spacing w:after="0" w:line="240" w:lineRule="auto"/>
              <w:rPr>
                <w:rFonts w:ascii="Arial" w:hAnsi="Arial" w:cs="Arial"/>
                <w:i/>
                <w:szCs w:val="24"/>
              </w:rPr>
            </w:pPr>
            <w:r>
              <w:rPr>
                <w:rFonts w:ascii="Arial" w:hAnsi="Arial" w:cs="Arial"/>
                <w:i/>
                <w:szCs w:val="24"/>
              </w:rPr>
              <w:t xml:space="preserve">Estas obras </w:t>
            </w:r>
            <w:bookmarkStart w:id="1" w:name="_Hlk63088255"/>
            <w:r>
              <w:rPr>
                <w:rFonts w:ascii="Arial" w:hAnsi="Arial" w:cs="Arial"/>
                <w:i/>
                <w:szCs w:val="24"/>
              </w:rPr>
              <w:t xml:space="preserve">benefician a unas 4340 personas de El Silencio, San </w:t>
            </w:r>
            <w:r>
              <w:rPr>
                <w:rFonts w:ascii="Arial" w:hAnsi="Arial" w:cs="Arial"/>
                <w:i/>
                <w:szCs w:val="24"/>
              </w:rPr>
              <w:t xml:space="preserve">Rafael, Pejibaye, Cabanga, Palenque Margarita, Palenque Tonjibe, Lourdes, La Poma, Los Ángeles. </w:t>
            </w:r>
            <w:bookmarkEnd w:id="1"/>
          </w:p>
          <w:p w14:paraId="39967CC7" w14:textId="77777777" w:rsidR="00000000" w:rsidRDefault="00BB53D1">
            <w:pPr>
              <w:pStyle w:val="Prrafodelista"/>
              <w:numPr>
                <w:ilvl w:val="0"/>
                <w:numId w:val="2"/>
              </w:numPr>
              <w:spacing w:after="0" w:line="240" w:lineRule="auto"/>
              <w:rPr>
                <w:rFonts w:ascii="Arial" w:hAnsi="Arial" w:cs="Arial"/>
                <w:i/>
                <w:szCs w:val="24"/>
              </w:rPr>
            </w:pPr>
            <w:r>
              <w:rPr>
                <w:rFonts w:ascii="Arial" w:hAnsi="Arial" w:cs="Arial"/>
                <w:i/>
                <w:szCs w:val="24"/>
              </w:rPr>
              <w:t>Esta obra inició el pasado el mes de noviembre del año pasado y actualmente se</w:t>
            </w:r>
            <w:r>
              <w:rPr>
                <w:rFonts w:ascii="Arial" w:hAnsi="Arial" w:cs="Arial"/>
                <w:sz w:val="24"/>
                <w:szCs w:val="24"/>
              </w:rPr>
              <w:t xml:space="preserve"> </w:t>
            </w:r>
            <w:r>
              <w:rPr>
                <w:rFonts w:ascii="Arial" w:hAnsi="Arial" w:cs="Arial"/>
                <w:i/>
                <w:szCs w:val="24"/>
              </w:rPr>
              <w:t>encuentra en un 95 % de su avance físico.</w:t>
            </w:r>
          </w:p>
          <w:p w14:paraId="5D3DAA0B" w14:textId="77777777" w:rsidR="00000000" w:rsidRDefault="00BB53D1">
            <w:pPr>
              <w:pStyle w:val="Prrafodelista"/>
              <w:numPr>
                <w:ilvl w:val="0"/>
                <w:numId w:val="2"/>
              </w:numPr>
              <w:spacing w:after="0" w:line="240" w:lineRule="auto"/>
              <w:rPr>
                <w:rFonts w:ascii="Arial" w:hAnsi="Arial" w:cs="Arial"/>
                <w:i/>
                <w:szCs w:val="24"/>
              </w:rPr>
            </w:pPr>
            <w:r>
              <w:rPr>
                <w:rFonts w:ascii="Arial" w:hAnsi="Arial" w:cs="Arial"/>
                <w:i/>
                <w:szCs w:val="24"/>
              </w:rPr>
              <w:t>La obra se construye para atender el D</w:t>
            </w:r>
            <w:r>
              <w:rPr>
                <w:rFonts w:ascii="Arial" w:hAnsi="Arial" w:cs="Arial"/>
                <w:i/>
                <w:szCs w:val="24"/>
              </w:rPr>
              <w:t xml:space="preserve">ecreto de Emergencia N° 40027 correspondiente al huracán Otto. </w:t>
            </w:r>
          </w:p>
          <w:p w14:paraId="21B15A57" w14:textId="77777777" w:rsidR="00000000" w:rsidRDefault="00BB53D1">
            <w:pPr>
              <w:pStyle w:val="Prrafodelista"/>
              <w:spacing w:after="0" w:line="240" w:lineRule="auto"/>
              <w:ind w:left="928"/>
              <w:rPr>
                <w:rFonts w:ascii="Arial" w:hAnsi="Arial" w:cs="Arial"/>
                <w:i/>
                <w:szCs w:val="24"/>
              </w:rPr>
            </w:pPr>
          </w:p>
          <w:p w14:paraId="2BE37620" w14:textId="77777777" w:rsidR="00000000" w:rsidRDefault="00BB53D1">
            <w:pPr>
              <w:spacing w:after="0" w:line="240" w:lineRule="auto"/>
              <w:rPr>
                <w:rFonts w:ascii="Arial" w:hAnsi="Arial" w:cs="Arial"/>
                <w:sz w:val="24"/>
                <w:szCs w:val="24"/>
              </w:rPr>
            </w:pPr>
            <w:r>
              <w:rPr>
                <w:rFonts w:ascii="Arial" w:hAnsi="Arial" w:cs="Arial"/>
                <w:i/>
                <w:sz w:val="20"/>
                <w:szCs w:val="24"/>
              </w:rPr>
              <w:t>Alajuela, 13 de marzo del 2021</w:t>
            </w:r>
            <w:r>
              <w:rPr>
                <w:rFonts w:ascii="Arial" w:hAnsi="Arial" w:cs="Arial"/>
                <w:sz w:val="24"/>
                <w:szCs w:val="24"/>
              </w:rPr>
              <w:t xml:space="preserve">. Con una inversión de </w:t>
            </w:r>
            <w:bookmarkStart w:id="2" w:name="_Hlk26083290"/>
            <w:r>
              <w:rPr>
                <w:rFonts w:ascii="Arial" w:hAnsi="Arial" w:cs="Arial"/>
                <w:sz w:val="24"/>
                <w:szCs w:val="24"/>
              </w:rPr>
              <w:t xml:space="preserve">más de </w:t>
            </w:r>
            <w:r>
              <w:rPr>
                <w:rFonts w:ascii="Arial" w:hAnsi="Arial" w:cs="Arial"/>
                <w:b/>
                <w:bCs/>
                <w:iCs/>
                <w:sz w:val="24"/>
                <w:szCs w:val="24"/>
              </w:rPr>
              <w:t>₡</w:t>
            </w:r>
            <w:bookmarkEnd w:id="2"/>
            <w:r>
              <w:rPr>
                <w:rFonts w:ascii="Arial" w:hAnsi="Arial" w:cs="Arial"/>
                <w:b/>
                <w:bCs/>
                <w:iCs/>
                <w:sz w:val="24"/>
                <w:szCs w:val="24"/>
              </w:rPr>
              <w:t>121 millones</w:t>
            </w:r>
            <w:r>
              <w:rPr>
                <w:rFonts w:ascii="Arial" w:hAnsi="Arial" w:cs="Arial"/>
                <w:iCs/>
                <w:sz w:val="24"/>
                <w:szCs w:val="24"/>
              </w:rPr>
              <w:t>,</w:t>
            </w:r>
            <w:r>
              <w:rPr>
                <w:rFonts w:ascii="Arial" w:hAnsi="Arial" w:cs="Arial"/>
                <w:iCs/>
                <w:szCs w:val="24"/>
              </w:rPr>
              <w:t xml:space="preserve"> l</w:t>
            </w:r>
            <w:r>
              <w:rPr>
                <w:rFonts w:ascii="Arial" w:hAnsi="Arial" w:cs="Arial"/>
                <w:sz w:val="24"/>
                <w:szCs w:val="24"/>
              </w:rPr>
              <w:t>a Comisión Nacional de Prevención de Riesgos y Atención de Emergencias (CNE), realizó en el cantón de Guatuso de Al</w:t>
            </w:r>
            <w:r>
              <w:rPr>
                <w:rFonts w:ascii="Arial" w:hAnsi="Arial" w:cs="Arial"/>
                <w:sz w:val="24"/>
                <w:szCs w:val="24"/>
              </w:rPr>
              <w:t xml:space="preserve">ajuela, la construcción de obra de protección por medio de un muro de contención para recuperar la ruta cantonal en la comunidad de El Silencio en el distrito de San Rafael. </w:t>
            </w:r>
          </w:p>
          <w:p w14:paraId="50377E25" w14:textId="77777777" w:rsidR="00000000" w:rsidRDefault="00BB53D1">
            <w:pPr>
              <w:spacing w:after="0" w:line="240" w:lineRule="auto"/>
              <w:rPr>
                <w:rFonts w:ascii="Arial" w:hAnsi="Arial" w:cs="Arial"/>
                <w:sz w:val="24"/>
                <w:szCs w:val="24"/>
              </w:rPr>
            </w:pPr>
          </w:p>
          <w:p w14:paraId="7BEF2715" w14:textId="77777777" w:rsidR="00000000" w:rsidRDefault="00BB53D1">
            <w:pPr>
              <w:spacing w:after="0" w:line="240" w:lineRule="auto"/>
              <w:rPr>
                <w:rFonts w:ascii="Arial" w:hAnsi="Arial" w:cs="Arial"/>
                <w:sz w:val="24"/>
                <w:szCs w:val="24"/>
              </w:rPr>
            </w:pPr>
            <w:r>
              <w:rPr>
                <w:rFonts w:ascii="Arial" w:hAnsi="Arial" w:cs="Arial"/>
                <w:sz w:val="24"/>
                <w:szCs w:val="24"/>
              </w:rPr>
              <w:t xml:space="preserve">Estas obras benefician a unas 4 340 personas de las comunidades de El Silencio, </w:t>
            </w:r>
            <w:r>
              <w:rPr>
                <w:rFonts w:ascii="Arial" w:hAnsi="Arial" w:cs="Arial"/>
                <w:sz w:val="24"/>
                <w:szCs w:val="24"/>
              </w:rPr>
              <w:t xml:space="preserve">San Rafael, Pejibaye, Cabanga, </w:t>
            </w:r>
            <w:bookmarkStart w:id="3" w:name="_Hlk63149103"/>
            <w:r>
              <w:rPr>
                <w:rFonts w:ascii="Arial" w:hAnsi="Arial" w:cs="Arial"/>
                <w:sz w:val="24"/>
                <w:szCs w:val="24"/>
              </w:rPr>
              <w:t>Palenque Margarita, Palenque Tonjibe</w:t>
            </w:r>
            <w:bookmarkEnd w:id="3"/>
            <w:r>
              <w:rPr>
                <w:rFonts w:ascii="Arial" w:hAnsi="Arial" w:cs="Arial"/>
                <w:sz w:val="24"/>
                <w:szCs w:val="24"/>
              </w:rPr>
              <w:t>, Lourdes, La Poma y Los Ángeles, donde se desarrolla mucha actividad productiva como agricultura, ganadería e industria por medio de procesadoras individuales de leche, ebanisterías, talab</w:t>
            </w:r>
            <w:r>
              <w:rPr>
                <w:rFonts w:ascii="Arial" w:hAnsi="Arial" w:cs="Arial"/>
                <w:sz w:val="24"/>
                <w:szCs w:val="24"/>
              </w:rPr>
              <w:t>arterías.</w:t>
            </w:r>
          </w:p>
          <w:p w14:paraId="20BB4213" w14:textId="77777777" w:rsidR="00000000" w:rsidRDefault="00BB53D1">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4EAD3ABA" wp14:editId="66B2CEEE">
                  <wp:extent cx="5438775" cy="3617595"/>
                  <wp:effectExtent l="0" t="0" r="9525" b="1905"/>
                  <wp:docPr id="2" name="Imagen 2" descr="Un tren por la carrilera en medio de un jardí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 tren por la carrilera en medio de un jardín&#10;&#10;Descripción generada automáticamente con confianza ba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3617595"/>
                          </a:xfrm>
                          <a:prstGeom prst="rect">
                            <a:avLst/>
                          </a:prstGeom>
                          <a:noFill/>
                          <a:ln>
                            <a:noFill/>
                          </a:ln>
                        </pic:spPr>
                      </pic:pic>
                    </a:graphicData>
                  </a:graphic>
                </wp:inline>
              </w:drawing>
            </w:r>
          </w:p>
          <w:p w14:paraId="4AE286AD" w14:textId="77777777" w:rsidR="00000000" w:rsidRDefault="00BB53D1">
            <w:pPr>
              <w:spacing w:after="0" w:line="240" w:lineRule="auto"/>
              <w:rPr>
                <w:rFonts w:ascii="Arial" w:hAnsi="Arial" w:cs="Arial"/>
                <w:sz w:val="24"/>
                <w:szCs w:val="24"/>
              </w:rPr>
            </w:pPr>
            <w:r>
              <w:rPr>
                <w:rFonts w:ascii="Arial" w:hAnsi="Arial" w:cs="Arial"/>
                <w:sz w:val="24"/>
                <w:szCs w:val="24"/>
              </w:rPr>
              <w:t xml:space="preserve">Esta estructura consta de un muro mixto que está compuesto por un muro de gaviones, que consiste en, una caja o cesta rectangular rellena de piedras o tierra para proteger el pie del muro y un sistema “tierra armada” para la recuperación de la </w:t>
            </w:r>
            <w:r>
              <w:rPr>
                <w:rFonts w:ascii="Arial" w:hAnsi="Arial" w:cs="Arial"/>
                <w:sz w:val="24"/>
                <w:szCs w:val="24"/>
              </w:rPr>
              <w:t>plataforma del camino. El proyecto incluye, además, obras complementarias como aceras, barandas de protección, señalización vertical y todas las obras de drenaje para el manejo de las aguas pluviales, como cunetas, pozos-tragantes, tuberías y canal disipad</w:t>
            </w:r>
            <w:r>
              <w:rPr>
                <w:rFonts w:ascii="Arial" w:hAnsi="Arial" w:cs="Arial"/>
                <w:sz w:val="24"/>
                <w:szCs w:val="24"/>
              </w:rPr>
              <w:t>or de energía.</w:t>
            </w:r>
          </w:p>
          <w:p w14:paraId="6F558864" w14:textId="77777777" w:rsidR="00000000" w:rsidRDefault="00BB53D1">
            <w:pPr>
              <w:spacing w:after="0" w:line="240" w:lineRule="auto"/>
              <w:rPr>
                <w:rFonts w:ascii="Arial" w:hAnsi="Arial" w:cs="Arial"/>
                <w:sz w:val="24"/>
                <w:szCs w:val="24"/>
              </w:rPr>
            </w:pPr>
          </w:p>
          <w:p w14:paraId="3F5E5399" w14:textId="77777777" w:rsidR="00000000" w:rsidRDefault="00BB53D1">
            <w:pPr>
              <w:spacing w:after="0" w:line="240" w:lineRule="auto"/>
              <w:rPr>
                <w:rFonts w:ascii="Arial" w:hAnsi="Arial" w:cs="Arial"/>
                <w:sz w:val="24"/>
                <w:szCs w:val="24"/>
              </w:rPr>
            </w:pPr>
            <w:r>
              <w:rPr>
                <w:rFonts w:ascii="Arial" w:hAnsi="Arial" w:cs="Arial"/>
                <w:sz w:val="24"/>
                <w:szCs w:val="24"/>
              </w:rPr>
              <w:t xml:space="preserve">Para Alexander Solís, presidente de la CNE, con la construcción de estas obras de protección, se podrá tener un mayor control de las inundaciones, lo que permitirá brindar una respuesta eficiente en caso de presentarse un evento extremo. </w:t>
            </w:r>
          </w:p>
          <w:p w14:paraId="20B9E462" w14:textId="77777777" w:rsidR="00000000" w:rsidRDefault="00BB53D1">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74B966BC" wp14:editId="07A7382E">
                  <wp:extent cx="5430520" cy="3617595"/>
                  <wp:effectExtent l="0" t="0" r="0" b="1905"/>
                  <wp:docPr id="3" name="Imagen 3" descr="Un conjunto de árbo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n conjunto de árboles&#10;&#10;Descripción generada automáticamente con confianza ba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0520" cy="3617595"/>
                          </a:xfrm>
                          <a:prstGeom prst="rect">
                            <a:avLst/>
                          </a:prstGeom>
                          <a:noFill/>
                          <a:ln>
                            <a:noFill/>
                          </a:ln>
                        </pic:spPr>
                      </pic:pic>
                    </a:graphicData>
                  </a:graphic>
                </wp:inline>
              </w:drawing>
            </w:r>
          </w:p>
          <w:p w14:paraId="167B483D" w14:textId="77777777" w:rsidR="00000000" w:rsidRDefault="00BB53D1">
            <w:pPr>
              <w:spacing w:after="0" w:line="240" w:lineRule="auto"/>
              <w:rPr>
                <w:rFonts w:ascii="Arial" w:hAnsi="Arial" w:cs="Arial"/>
                <w:b/>
                <w:bCs/>
                <w:sz w:val="24"/>
                <w:szCs w:val="24"/>
              </w:rPr>
            </w:pPr>
          </w:p>
          <w:p w14:paraId="128F0E53" w14:textId="77777777" w:rsidR="00000000" w:rsidRDefault="00BB53D1">
            <w:pPr>
              <w:spacing w:after="0" w:line="240" w:lineRule="auto"/>
              <w:rPr>
                <w:rFonts w:ascii="Arial" w:hAnsi="Arial" w:cs="Arial"/>
                <w:sz w:val="24"/>
                <w:szCs w:val="24"/>
              </w:rPr>
            </w:pPr>
            <w:r>
              <w:rPr>
                <w:rFonts w:ascii="Arial" w:hAnsi="Arial" w:cs="Arial"/>
                <w:sz w:val="24"/>
                <w:szCs w:val="24"/>
              </w:rPr>
              <w:t xml:space="preserve">Esta obra inició en el mes de noviembre del año pasado y actualmente se encuentra en un 95% de su avance físico. Se prevé la recepción definitiva de la construcción para la próxima semana. </w:t>
            </w:r>
          </w:p>
          <w:p w14:paraId="1525488B" w14:textId="77777777" w:rsidR="00000000" w:rsidRDefault="00BB53D1">
            <w:pPr>
              <w:spacing w:after="0" w:line="240" w:lineRule="auto"/>
              <w:rPr>
                <w:rFonts w:ascii="Arial" w:hAnsi="Arial" w:cs="Arial"/>
                <w:sz w:val="24"/>
                <w:szCs w:val="24"/>
              </w:rPr>
            </w:pPr>
          </w:p>
          <w:p w14:paraId="525CAD6C" w14:textId="77777777" w:rsidR="00000000" w:rsidRDefault="00BB53D1">
            <w:pPr>
              <w:spacing w:after="0" w:line="240" w:lineRule="auto"/>
              <w:rPr>
                <w:rFonts w:ascii="Arial" w:hAnsi="Arial" w:cs="Arial"/>
                <w:sz w:val="24"/>
                <w:szCs w:val="24"/>
              </w:rPr>
            </w:pPr>
            <w:r>
              <w:rPr>
                <w:rFonts w:ascii="Arial" w:hAnsi="Arial" w:cs="Arial"/>
                <w:sz w:val="24"/>
                <w:szCs w:val="24"/>
              </w:rPr>
              <w:t xml:space="preserve">Para Jairo Ulate </w:t>
            </w:r>
            <w:r>
              <w:rPr>
                <w:rFonts w:ascii="Arial" w:hAnsi="Arial" w:cs="Arial"/>
                <w:sz w:val="24"/>
                <w:szCs w:val="24"/>
              </w:rPr>
              <w:t xml:space="preserve">Villalobos, vecino de El Silencio esta obra es un “camino por derecho”, ya que según Ulate con la recuperación de la ruta están más cerca de la clínica, del centro de la comunidad y el acceso facilita el tránsito de compradores de queso y de ganaderos que </w:t>
            </w:r>
            <w:r>
              <w:rPr>
                <w:rFonts w:ascii="Arial" w:hAnsi="Arial" w:cs="Arial"/>
                <w:sz w:val="24"/>
                <w:szCs w:val="24"/>
              </w:rPr>
              <w:t xml:space="preserve">llevan sus animales para subasta o bien los transportan a fincas cercanas. “Estamos teniendo un poquito de paciencia, ahorita está en construcción, pero sabemos que dentro de poco vamos a gozar de una calle segura”, concluyó Ulate Villalobos. </w:t>
            </w:r>
          </w:p>
          <w:p w14:paraId="4875F987" w14:textId="77777777" w:rsidR="00000000" w:rsidRDefault="00BB53D1">
            <w:pPr>
              <w:spacing w:after="0" w:line="240" w:lineRule="auto"/>
              <w:jc w:val="center"/>
              <w:rPr>
                <w:rFonts w:ascii="Arial" w:hAnsi="Arial" w:cs="Arial"/>
                <w:sz w:val="24"/>
                <w:szCs w:val="24"/>
              </w:rPr>
            </w:pPr>
          </w:p>
          <w:p w14:paraId="70F27C18" w14:textId="77777777" w:rsidR="00000000" w:rsidRDefault="00BB53D1">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3522F62F" wp14:editId="194B28C4">
                  <wp:extent cx="5430520" cy="3617595"/>
                  <wp:effectExtent l="0" t="0" r="0" b="1905"/>
                  <wp:docPr id="4" name="Imagen 5" descr="Imagen que contiene pasto, tren, pista, l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pasto, tren, pista, lad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0520" cy="3617595"/>
                          </a:xfrm>
                          <a:prstGeom prst="rect">
                            <a:avLst/>
                          </a:prstGeom>
                          <a:noFill/>
                          <a:ln>
                            <a:noFill/>
                          </a:ln>
                        </pic:spPr>
                      </pic:pic>
                    </a:graphicData>
                  </a:graphic>
                </wp:inline>
              </w:drawing>
            </w:r>
          </w:p>
          <w:p w14:paraId="218F8C92" w14:textId="77777777" w:rsidR="00000000" w:rsidRDefault="00BB53D1">
            <w:pPr>
              <w:spacing w:after="0" w:line="240" w:lineRule="auto"/>
              <w:rPr>
                <w:rFonts w:ascii="Arial" w:hAnsi="Arial" w:cs="Arial"/>
                <w:sz w:val="24"/>
                <w:szCs w:val="24"/>
              </w:rPr>
            </w:pPr>
            <w:r>
              <w:rPr>
                <w:rFonts w:ascii="Arial" w:hAnsi="Arial" w:cs="Arial"/>
                <w:sz w:val="24"/>
                <w:szCs w:val="24"/>
              </w:rPr>
              <w:t>Con la co</w:t>
            </w:r>
            <w:r>
              <w:rPr>
                <w:rFonts w:ascii="Arial" w:hAnsi="Arial" w:cs="Arial"/>
                <w:sz w:val="24"/>
                <w:szCs w:val="24"/>
              </w:rPr>
              <w:t xml:space="preserve">nstrucción de esta obra, se atiende el Decreto de Emergencia N° 40027 correspondiente a las afectaciones que provocó el huracán Otto. </w:t>
            </w:r>
          </w:p>
          <w:p w14:paraId="1B108D97" w14:textId="77777777" w:rsidR="00000000" w:rsidRDefault="00BB53D1">
            <w:pPr>
              <w:spacing w:after="0" w:line="240" w:lineRule="auto"/>
              <w:rPr>
                <w:rFonts w:ascii="Arial" w:hAnsi="Arial" w:cs="Arial"/>
                <w:sz w:val="24"/>
                <w:szCs w:val="24"/>
              </w:rPr>
            </w:pPr>
          </w:p>
          <w:p w14:paraId="65149772" w14:textId="77777777" w:rsidR="00000000" w:rsidRDefault="00BB53D1">
            <w:pPr>
              <w:spacing w:after="0" w:line="240" w:lineRule="auto"/>
              <w:rPr>
                <w:rFonts w:ascii="Arial" w:hAnsi="Arial" w:cs="Arial"/>
                <w:sz w:val="24"/>
                <w:szCs w:val="24"/>
              </w:rPr>
            </w:pPr>
            <w:r>
              <w:rPr>
                <w:rFonts w:ascii="Arial" w:hAnsi="Arial" w:cs="Arial"/>
                <w:sz w:val="24"/>
                <w:szCs w:val="24"/>
              </w:rPr>
              <w:t>Las obras se construyen en conjunto con la Municipalidad de Guatuso como Unidad Ejecutora, y con el acompañamiento de la</w:t>
            </w:r>
            <w:r>
              <w:rPr>
                <w:rFonts w:ascii="Arial" w:hAnsi="Arial" w:cs="Arial"/>
                <w:sz w:val="24"/>
                <w:szCs w:val="24"/>
              </w:rPr>
              <w:t xml:space="preserve"> Asociación de Desarrollo Integra El Silencio de Guatuso.</w:t>
            </w:r>
          </w:p>
        </w:tc>
        <w:tc>
          <w:tcPr>
            <w:tcW w:w="269" w:type="dxa"/>
            <w:tcBorders>
              <w:top w:val="single" w:sz="4" w:space="0" w:color="auto"/>
              <w:left w:val="single" w:sz="4" w:space="0" w:color="auto"/>
              <w:bottom w:val="single" w:sz="4" w:space="0" w:color="auto"/>
              <w:right w:val="single" w:sz="4" w:space="0" w:color="auto"/>
            </w:tcBorders>
          </w:tcPr>
          <w:p w14:paraId="6202D617" w14:textId="77777777" w:rsidR="00000000" w:rsidRDefault="00BB53D1">
            <w:pPr>
              <w:spacing w:after="0" w:line="240" w:lineRule="auto"/>
              <w:rPr>
                <w:rFonts w:ascii="Arial" w:hAnsi="Arial" w:cs="Arial"/>
                <w:bCs/>
                <w:color w:val="000000"/>
                <w:sz w:val="24"/>
                <w:szCs w:val="24"/>
                <w:lang w:eastAsia="es-CR"/>
              </w:rPr>
            </w:pPr>
          </w:p>
        </w:tc>
      </w:tr>
      <w:tr w:rsidR="00000000" w14:paraId="2561A35D" w14:textId="77777777">
        <w:tc>
          <w:tcPr>
            <w:tcW w:w="270" w:type="dxa"/>
            <w:tcBorders>
              <w:top w:val="single" w:sz="4" w:space="0" w:color="auto"/>
              <w:left w:val="single" w:sz="4" w:space="0" w:color="auto"/>
              <w:bottom w:val="single" w:sz="4" w:space="0" w:color="auto"/>
              <w:right w:val="single" w:sz="4" w:space="0" w:color="auto"/>
            </w:tcBorders>
          </w:tcPr>
          <w:p w14:paraId="144BB1A3" w14:textId="77777777" w:rsidR="00000000" w:rsidRDefault="00BB53D1">
            <w:pPr>
              <w:spacing w:after="0" w:line="240" w:lineRule="auto"/>
              <w:rPr>
                <w:rFonts w:ascii="Arial" w:hAnsi="Arial" w:cs="Arial"/>
                <w:bCs/>
                <w:color w:val="000000"/>
                <w:sz w:val="24"/>
                <w:szCs w:val="24"/>
                <w:lang w:eastAsia="es-CR"/>
              </w:rPr>
            </w:pPr>
          </w:p>
        </w:tc>
        <w:tc>
          <w:tcPr>
            <w:tcW w:w="824" w:type="dxa"/>
            <w:tcBorders>
              <w:top w:val="single" w:sz="4" w:space="0" w:color="auto"/>
              <w:left w:val="single" w:sz="4" w:space="0" w:color="auto"/>
              <w:bottom w:val="single" w:sz="4" w:space="0" w:color="auto"/>
              <w:right w:val="single" w:sz="4" w:space="0" w:color="auto"/>
            </w:tcBorders>
          </w:tcPr>
          <w:p w14:paraId="36EA76E8" w14:textId="77777777" w:rsidR="00000000" w:rsidRDefault="00BB53D1">
            <w:pPr>
              <w:spacing w:after="0" w:line="240" w:lineRule="auto"/>
              <w:rPr>
                <w:rFonts w:ascii="Arial" w:hAnsi="Arial" w:cs="Arial"/>
                <w:bCs/>
                <w:color w:val="000000"/>
                <w:sz w:val="24"/>
                <w:szCs w:val="24"/>
                <w:lang w:eastAsia="es-CR"/>
              </w:rPr>
            </w:pPr>
          </w:p>
        </w:tc>
        <w:tc>
          <w:tcPr>
            <w:tcW w:w="3251" w:type="dxa"/>
            <w:tcBorders>
              <w:top w:val="single" w:sz="4" w:space="0" w:color="auto"/>
              <w:left w:val="single" w:sz="4" w:space="0" w:color="auto"/>
              <w:bottom w:val="single" w:sz="4" w:space="0" w:color="auto"/>
              <w:right w:val="single" w:sz="4" w:space="0" w:color="auto"/>
            </w:tcBorders>
          </w:tcPr>
          <w:p w14:paraId="5BE08110" w14:textId="77777777" w:rsidR="00000000" w:rsidRDefault="00BB53D1">
            <w:pPr>
              <w:spacing w:after="0" w:line="240" w:lineRule="auto"/>
              <w:rPr>
                <w:rFonts w:ascii="Arial" w:hAnsi="Arial" w:cs="Arial"/>
                <w:bCs/>
                <w:color w:val="000000"/>
                <w:sz w:val="24"/>
                <w:szCs w:val="24"/>
                <w:lang w:eastAsia="es-CR"/>
              </w:rPr>
            </w:pPr>
          </w:p>
        </w:tc>
        <w:tc>
          <w:tcPr>
            <w:tcW w:w="3210" w:type="dxa"/>
            <w:tcBorders>
              <w:top w:val="single" w:sz="4" w:space="0" w:color="auto"/>
              <w:left w:val="single" w:sz="4" w:space="0" w:color="auto"/>
              <w:bottom w:val="single" w:sz="4" w:space="0" w:color="auto"/>
              <w:right w:val="single" w:sz="4" w:space="0" w:color="auto"/>
            </w:tcBorders>
          </w:tcPr>
          <w:p w14:paraId="4EC43A66" w14:textId="77777777" w:rsidR="00000000" w:rsidRDefault="00BB53D1">
            <w:pPr>
              <w:spacing w:after="0" w:line="240" w:lineRule="auto"/>
              <w:rPr>
                <w:rFonts w:ascii="Arial" w:hAnsi="Arial" w:cs="Arial"/>
                <w:bCs/>
                <w:color w:val="000000"/>
                <w:sz w:val="24"/>
                <w:szCs w:val="24"/>
                <w:lang w:eastAsia="es-CR"/>
              </w:rPr>
            </w:pPr>
          </w:p>
        </w:tc>
        <w:tc>
          <w:tcPr>
            <w:tcW w:w="284" w:type="dxa"/>
            <w:tcBorders>
              <w:top w:val="single" w:sz="4" w:space="0" w:color="auto"/>
              <w:left w:val="single" w:sz="4" w:space="0" w:color="auto"/>
              <w:bottom w:val="single" w:sz="4" w:space="0" w:color="auto"/>
              <w:right w:val="single" w:sz="4" w:space="0" w:color="auto"/>
            </w:tcBorders>
          </w:tcPr>
          <w:p w14:paraId="590130FF" w14:textId="77777777" w:rsidR="00000000" w:rsidRDefault="00BB53D1">
            <w:pPr>
              <w:spacing w:after="0" w:line="240" w:lineRule="auto"/>
              <w:rPr>
                <w:rFonts w:ascii="Arial" w:hAnsi="Arial" w:cs="Arial"/>
                <w:bCs/>
                <w:color w:val="000000"/>
                <w:sz w:val="24"/>
                <w:szCs w:val="24"/>
                <w:lang w:eastAsia="es-CR"/>
              </w:rPr>
            </w:pPr>
          </w:p>
        </w:tc>
        <w:tc>
          <w:tcPr>
            <w:tcW w:w="269" w:type="dxa"/>
            <w:tcBorders>
              <w:top w:val="single" w:sz="4" w:space="0" w:color="auto"/>
              <w:left w:val="single" w:sz="4" w:space="0" w:color="auto"/>
              <w:bottom w:val="single" w:sz="4" w:space="0" w:color="auto"/>
              <w:right w:val="single" w:sz="4" w:space="0" w:color="auto"/>
            </w:tcBorders>
          </w:tcPr>
          <w:p w14:paraId="1DC18D97" w14:textId="77777777" w:rsidR="00000000" w:rsidRDefault="00BB53D1">
            <w:pPr>
              <w:spacing w:after="0" w:line="240" w:lineRule="auto"/>
              <w:rPr>
                <w:rFonts w:ascii="Arial" w:hAnsi="Arial" w:cs="Arial"/>
                <w:bCs/>
                <w:color w:val="000000"/>
                <w:sz w:val="24"/>
                <w:szCs w:val="24"/>
                <w:lang w:eastAsia="es-CR"/>
              </w:rPr>
            </w:pPr>
          </w:p>
        </w:tc>
      </w:tr>
      <w:bookmarkEnd w:id="0"/>
    </w:tbl>
    <w:p w14:paraId="2DC4E188" w14:textId="77777777" w:rsidR="00000000" w:rsidRDefault="00BB53D1">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16AF2"/>
    <w:multiLevelType w:val="hybridMultilevel"/>
    <w:tmpl w:val="3004910C"/>
    <w:lvl w:ilvl="0" w:tplc="0C0A0001">
      <w:start w:val="1"/>
      <w:numFmt w:val="bullet"/>
      <w:lvlText w:val=""/>
      <w:lvlJc w:val="left"/>
      <w:pPr>
        <w:ind w:left="928" w:hanging="360"/>
      </w:pPr>
      <w:rPr>
        <w:rFonts w:ascii="Symbol" w:hAnsi="Symbol" w:hint="default"/>
      </w:rPr>
    </w:lvl>
    <w:lvl w:ilvl="1" w:tplc="0C0A0003">
      <w:start w:val="1"/>
      <w:numFmt w:val="bullet"/>
      <w:lvlText w:val="o"/>
      <w:lvlJc w:val="left"/>
      <w:pPr>
        <w:ind w:left="1648" w:hanging="360"/>
      </w:pPr>
      <w:rPr>
        <w:rFonts w:ascii="Courier New" w:hAnsi="Courier New" w:cs="Courier New" w:hint="default"/>
      </w:rPr>
    </w:lvl>
    <w:lvl w:ilvl="2" w:tplc="0C0A0005">
      <w:start w:val="1"/>
      <w:numFmt w:val="bullet"/>
      <w:lvlText w:val=""/>
      <w:lvlJc w:val="left"/>
      <w:pPr>
        <w:ind w:left="2368" w:hanging="360"/>
      </w:pPr>
      <w:rPr>
        <w:rFonts w:ascii="Wingdings" w:hAnsi="Wingdings" w:hint="default"/>
      </w:rPr>
    </w:lvl>
    <w:lvl w:ilvl="3" w:tplc="0C0A0001">
      <w:start w:val="1"/>
      <w:numFmt w:val="bullet"/>
      <w:lvlText w:val=""/>
      <w:lvlJc w:val="left"/>
      <w:pPr>
        <w:ind w:left="3088" w:hanging="360"/>
      </w:pPr>
      <w:rPr>
        <w:rFonts w:ascii="Symbol" w:hAnsi="Symbol" w:hint="default"/>
      </w:rPr>
    </w:lvl>
    <w:lvl w:ilvl="4" w:tplc="0C0A0003">
      <w:start w:val="1"/>
      <w:numFmt w:val="bullet"/>
      <w:lvlText w:val="o"/>
      <w:lvlJc w:val="left"/>
      <w:pPr>
        <w:ind w:left="3808" w:hanging="360"/>
      </w:pPr>
      <w:rPr>
        <w:rFonts w:ascii="Courier New" w:hAnsi="Courier New" w:cs="Courier New" w:hint="default"/>
      </w:rPr>
    </w:lvl>
    <w:lvl w:ilvl="5" w:tplc="0C0A0005">
      <w:start w:val="1"/>
      <w:numFmt w:val="bullet"/>
      <w:lvlText w:val=""/>
      <w:lvlJc w:val="left"/>
      <w:pPr>
        <w:ind w:left="4528" w:hanging="360"/>
      </w:pPr>
      <w:rPr>
        <w:rFonts w:ascii="Wingdings" w:hAnsi="Wingdings" w:hint="default"/>
      </w:rPr>
    </w:lvl>
    <w:lvl w:ilvl="6" w:tplc="0C0A0001">
      <w:start w:val="1"/>
      <w:numFmt w:val="bullet"/>
      <w:lvlText w:val=""/>
      <w:lvlJc w:val="left"/>
      <w:pPr>
        <w:ind w:left="5248" w:hanging="360"/>
      </w:pPr>
      <w:rPr>
        <w:rFonts w:ascii="Symbol" w:hAnsi="Symbol" w:hint="default"/>
      </w:rPr>
    </w:lvl>
    <w:lvl w:ilvl="7" w:tplc="0C0A0003">
      <w:start w:val="1"/>
      <w:numFmt w:val="bullet"/>
      <w:lvlText w:val="o"/>
      <w:lvlJc w:val="left"/>
      <w:pPr>
        <w:ind w:left="5968" w:hanging="360"/>
      </w:pPr>
      <w:rPr>
        <w:rFonts w:ascii="Courier New" w:hAnsi="Courier New" w:cs="Courier New" w:hint="default"/>
      </w:rPr>
    </w:lvl>
    <w:lvl w:ilvl="8" w:tplc="0C0A0005">
      <w:start w:val="1"/>
      <w:numFmt w:val="bullet"/>
      <w:lvlText w:val=""/>
      <w:lvlJc w:val="left"/>
      <w:pPr>
        <w:ind w:left="6688" w:hanging="360"/>
      </w:pPr>
      <w:rPr>
        <w:rFonts w:ascii="Wingdings" w:hAnsi="Wingdings" w:hint="default"/>
      </w:rPr>
    </w:lvl>
  </w:abstractNum>
  <w:num w:numId="1" w16cid:durableId="467360137">
    <w:abstractNumId w:val="0"/>
  </w:num>
  <w:num w:numId="2" w16cid:durableId="76477003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D1"/>
    <w:rsid w:val="00BB53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6AEA7CC2"/>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lang w:val="es-CR"/>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459</Words>
  <Characters>2529</Characters>
  <Application>Microsoft Office Word</Application>
  <DocSecurity>0</DocSecurity>
  <Lines>21</Lines>
  <Paragraphs>5</Paragraphs>
  <ScaleCrop>false</ScaleCrop>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2022-05-13T20:21:00Z</dcterms:created>
  <dcterms:modified xsi:type="dcterms:W3CDTF">2022-05-13T20:21:00Z</dcterms:modified>
</cp:coreProperties>
</file>