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</w:rPr>
              <w:t>¡Semana histórica!</w:t>
            </w:r>
          </w:p>
          <w:p w:rsidR="00000000" w:rsidRDefault="00274FC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España dona a Costa Rica más de un millón de vacunas vía COVAX</w:t>
            </w:r>
          </w:p>
          <w:p w:rsidR="00000000" w:rsidRDefault="00274F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031615"/>
                  <wp:effectExtent l="0" t="0" r="0" b="6985"/>
                  <wp:docPr id="1" name="Imagen 2" descr="Un grupo de personas en una caja de cartón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grupo de personas en una caja de cartón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86" b="40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3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4F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 esta donación el país superaría los 3 millones de dosis en donaciones. </w:t>
            </w:r>
          </w:p>
          <w:p w:rsidR="00000000" w:rsidRDefault="00274F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Esta es la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segunda vez que el país recibe una donación de España. </w:t>
            </w:r>
          </w:p>
          <w:p w:rsidR="00000000" w:rsidRDefault="00274F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Este sábado se recibieron 500.760 y en los próximos días llegarán 501.930 dosis de la casa farmacéutica Pfizer/BioNTech</w:t>
            </w:r>
          </w:p>
          <w:p w:rsidR="00000000" w:rsidRDefault="00274F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Esta es la semana que más vacunas se han recibido al ingresar 1.501.560 dosis. </w:t>
            </w:r>
          </w:p>
          <w:p w:rsidR="00000000" w:rsidRDefault="00274F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El Gobierno de España anunció la donación mediante el mecanismo multilateral COVAX de 1.002.690 vacunas contra el SARS-CoV-2 de la casa farmacéutica Pfizer/BioNTech. Este sábado ingresó el primer tracto de esta donación con 500.760 dosis, con lo que el pa</w:t>
            </w:r>
            <w:r>
              <w:rPr>
                <w:rFonts w:ascii="Arial" w:hAnsi="Arial" w:cs="Arial"/>
                <w:color w:val="000000"/>
              </w:rPr>
              <w:t>ís alcanza la cifra acumulada de más de 10,1 millones de vacunas recibidas.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Esta donación se realizará en dos tractos, el primer cargamento ingresó vía</w:t>
            </w:r>
            <w:r>
              <w:rPr>
                <w:rFonts w:ascii="Arial" w:hAnsi="Arial" w:cs="Arial"/>
              </w:rPr>
              <w:t xml:space="preserve"> aérea y </w:t>
            </w:r>
            <w:r>
              <w:rPr>
                <w:rFonts w:ascii="Arial" w:hAnsi="Arial" w:cs="Arial"/>
                <w:color w:val="000000"/>
              </w:rPr>
              <w:t xml:space="preserve">se entregó este sábado al Área de Almacenamiento y Distribución (ALDI) de la Caja Costarricense </w:t>
            </w:r>
            <w:r>
              <w:rPr>
                <w:rFonts w:ascii="Arial" w:hAnsi="Arial" w:cs="Arial"/>
                <w:color w:val="000000"/>
              </w:rPr>
              <w:t>de Seguro Social (CCSS), ubicadas en La Uruca. La segunda entrega con 501.930 dosis, se espera que llegue en los próximos días. 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Estos dos cargamentos se sumarían a las 69.600 vacunas donadas en 2021, llegando a 1.072.290 dosis donadas por el gobierno de E</w:t>
            </w:r>
            <w:r>
              <w:rPr>
                <w:rFonts w:ascii="Arial" w:hAnsi="Arial" w:cs="Arial"/>
                <w:color w:val="000000"/>
              </w:rPr>
              <w:t>spaña. Esto es resultado de las conversaciones entre el presidente de la República, Carlos Alvarado, y su homólogo español, Pedro Sánchez, además de las gestiones diplomáticas desarrolladas por la Cancillería y con el apoyo del Ministerio de Salud, la CCSS</w:t>
            </w:r>
            <w:r>
              <w:rPr>
                <w:rFonts w:ascii="Arial" w:hAnsi="Arial" w:cs="Arial"/>
                <w:color w:val="000000"/>
              </w:rPr>
              <w:t xml:space="preserve"> y la Comisión Nacional de Prevención de Riesgos y Atención de Emergencias (CNE).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“Agradezco profundamente al pueblo, el gobierno de España y su </w:t>
            </w:r>
            <w:r>
              <w:rPr>
                <w:rFonts w:ascii="Arial" w:hAnsi="Arial" w:cs="Arial"/>
                <w:color w:val="000000"/>
              </w:rPr>
              <w:t>presidente Pedro Sánchez, por la donación y toda la ayuda que nos han ofrecido a lo largo de la pandemia entre vacunas y suministros para nuestra lucha contra el COVID-19. Estas dosis representan un gran impulso para el vacunatón que se realizará en todo e</w:t>
            </w:r>
            <w:r>
              <w:rPr>
                <w:rFonts w:ascii="Arial" w:hAnsi="Arial" w:cs="Arial"/>
                <w:color w:val="000000"/>
              </w:rPr>
              <w:t>l territorio nacional ante el impacto de la variante Ómicron, para lograr salir de esta prueba tan dura”, afirmó el presidente Alvarado.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la fecha, el país ha recibido </w:t>
            </w:r>
            <w:r>
              <w:rPr>
                <w:rFonts w:ascii="Arial" w:hAnsi="Arial" w:cs="Arial"/>
                <w:b/>
                <w:color w:val="000000"/>
              </w:rPr>
              <w:t xml:space="preserve">2.531.790 dosis donadas </w:t>
            </w:r>
            <w:r>
              <w:rPr>
                <w:rFonts w:ascii="Arial" w:hAnsi="Arial" w:cs="Arial"/>
                <w:color w:val="000000"/>
              </w:rPr>
              <w:t>de los gobiernos de los Estados Unidos (1.503.900), España (570</w:t>
            </w:r>
            <w:r>
              <w:rPr>
                <w:rFonts w:ascii="Arial" w:hAnsi="Arial" w:cs="Arial"/>
                <w:color w:val="000000"/>
              </w:rPr>
              <w:t xml:space="preserve">.360), Canadá (319.200), República Dominicana (56.800) y Austria (50.000). Estas se suman a las </w:t>
            </w:r>
            <w:r>
              <w:rPr>
                <w:rFonts w:ascii="Arial" w:hAnsi="Arial" w:cs="Arial"/>
                <w:b/>
                <w:color w:val="000000"/>
              </w:rPr>
              <w:t>7.609.155 dosis por contrato de compra</w:t>
            </w:r>
            <w:r>
              <w:rPr>
                <w:rFonts w:ascii="Arial" w:hAnsi="Arial" w:cs="Arial"/>
                <w:color w:val="000000"/>
              </w:rPr>
              <w:t xml:space="preserve">, por lo que el país suma un acumulado de </w:t>
            </w:r>
            <w:r>
              <w:rPr>
                <w:rFonts w:ascii="Arial" w:hAnsi="Arial" w:cs="Arial"/>
                <w:b/>
                <w:color w:val="000000"/>
              </w:rPr>
              <w:t>10.140.945 dosis recibidas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274F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086860"/>
                  <wp:effectExtent l="0" t="0" r="0" b="8890"/>
                  <wp:docPr id="2" name="Imagen 3" descr="Imagen que contiene interior, mostrador, cocina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interior, mostrador, cocina, para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Por su parte, la Embajadora de España en Costa Ric</w:t>
            </w:r>
            <w:r>
              <w:rPr>
                <w:rFonts w:ascii="Arial" w:hAnsi="Arial" w:cs="Arial"/>
                <w:color w:val="000000"/>
              </w:rPr>
              <w:t>a, Cristina Pérez Gutiérrez, indicó que “España celebra poder seguir apoyando decididamente la campaña de vacunación de un país amigo, y reitera su compromiso con la necesidad de aportar una respuesta multilateral conjunta y solidaria a una pandemia que ha</w:t>
            </w:r>
            <w:r>
              <w:rPr>
                <w:rFonts w:ascii="Arial" w:hAnsi="Arial" w:cs="Arial"/>
                <w:color w:val="000000"/>
              </w:rPr>
              <w:t xml:space="preserve"> golpeado con particular dureza a la región de América Latina y el Caribe, con la que mantenemos estrechos lazos históricos y de cooperación”.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Embajadora agregó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“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color w:val="000000"/>
              </w:rPr>
              <w:t xml:space="preserve">e acuerdo con el </w:t>
            </w:r>
            <w:r>
              <w:rPr>
                <w:rFonts w:ascii="Arial" w:hAnsi="Arial" w:cs="Arial"/>
                <w:color w:val="000000"/>
              </w:rPr>
              <w:t>compromiso anunciado por el presidente del Gobierno en la Cumbre Iberoamericana de Andorra de donar 7,5 millones de vacunas a los países de América Latina y el Caribe, reiterado durante su visita a Costa Rica el pasado mes de junio, desde agosto de 2021 se</w:t>
            </w:r>
            <w:r>
              <w:rPr>
                <w:rFonts w:ascii="Arial" w:hAnsi="Arial" w:cs="Arial"/>
                <w:color w:val="000000"/>
              </w:rPr>
              <w:t xml:space="preserve"> viene materializando la donación de vacunas a la región, hasta alcanzar a día de hoy más de 22 millones de dosis asignadas. En América Latina somos el segundo país donante, después de Estados Unidos”.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Según indicó la viceministra de Relaciones Exteriores,</w:t>
            </w:r>
            <w:r>
              <w:rPr>
                <w:rFonts w:ascii="Arial" w:hAnsi="Arial" w:cs="Arial"/>
                <w:color w:val="000000"/>
              </w:rPr>
              <w:t xml:space="preserve"> Adriana Bolaños esta donación es “una muestra de la cooperación internacional humanitaria entre países hermanos, de la coincidencia de principios y valores, del excelente estado de las relaciones </w:t>
            </w:r>
            <w:r>
              <w:rPr>
                <w:rFonts w:ascii="Arial" w:hAnsi="Arial" w:cs="Arial"/>
                <w:color w:val="000000"/>
              </w:rPr>
              <w:lastRenderedPageBreak/>
              <w:t>diplomáticas entre los dos países y de la cercanía de las a</w:t>
            </w:r>
            <w:r>
              <w:rPr>
                <w:rFonts w:ascii="Arial" w:hAnsi="Arial" w:cs="Arial"/>
                <w:color w:val="000000"/>
              </w:rPr>
              <w:t xml:space="preserve">utoridades costarricenses y españolas”. 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 las 500.760 dosis entregadas este sábado en el almacén de la CCSS, esta se convierte en la semana que más dosis se han recibido, ya que ingresaron 1.501.560 vacunas y el mes de febrero se convierte en el mes con</w:t>
            </w:r>
            <w:r>
              <w:rPr>
                <w:rFonts w:ascii="Arial" w:hAnsi="Arial" w:cs="Arial"/>
                <w:color w:val="000000"/>
              </w:rPr>
              <w:t xml:space="preserve"> más dosis recibidas al sumar </w:t>
            </w:r>
            <w:r>
              <w:rPr>
                <w:rFonts w:ascii="Arial" w:hAnsi="Arial" w:cs="Arial"/>
                <w:b/>
                <w:color w:val="000000"/>
              </w:rPr>
              <w:t>1.570.620 dosis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Ver cuadro detalle.</w:t>
            </w:r>
          </w:p>
          <w:p w:rsidR="00000000" w:rsidRDefault="00274FC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0000" w:rsidRDefault="00274F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307715" cy="4739005"/>
                  <wp:effectExtent l="0" t="0" r="6985" b="444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473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4FC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Por su parte, la representante de OPS/OMS Costa Rica, María Dolores Pérez, hizo un llamado a la población para aprovechar la disponibilidad de dosis y asistir a los centros de vacunació</w:t>
            </w:r>
            <w:r>
              <w:rPr>
                <w:rFonts w:ascii="Arial" w:hAnsi="Arial" w:cs="Arial"/>
                <w:color w:val="000000"/>
              </w:rPr>
              <w:t>n e indicó que aún no es tarde para iniciar o completar el esquema. “Externamos nuestro más profundo agradecimiento al gobierno de España por atender el llamado internacional a la solidaridad y realizar esta donación a través de COVAX, un mecanismo que bus</w:t>
            </w:r>
            <w:r>
              <w:rPr>
                <w:rFonts w:ascii="Arial" w:hAnsi="Arial" w:cs="Arial"/>
                <w:color w:val="000000"/>
              </w:rPr>
              <w:t>ca la distribución equitativa de vacunas, principio indispensable para avanzar hacia el fin de la pandemia”, agregó. 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Finalmente, la representante de UNICEF en Costa Rica, Patricia Portela de Souza expresó que “COVAX es un mecanismo que permite garantizar </w:t>
            </w:r>
            <w:r>
              <w:rPr>
                <w:rFonts w:ascii="Arial" w:hAnsi="Arial" w:cs="Arial"/>
                <w:color w:val="000000"/>
              </w:rPr>
              <w:t>que las personas en todos los países obtengan un acceso justo y equitativo a vacunas seguras y eficaces. La protección de las personas adultas y la aceleración de la vacunación de niñas y niños y personas adolescentes permitirán disminuir la cantidad de ca</w:t>
            </w:r>
            <w:r>
              <w:rPr>
                <w:rFonts w:ascii="Arial" w:hAnsi="Arial" w:cs="Arial"/>
                <w:color w:val="000000"/>
              </w:rPr>
              <w:t>sos de personas contagiadas, enfermas y/o en hospitales, incluyendo personas menores de edad, y avanzar rápidamente hacia un retorno seguro a las lecciones presenciales y a otras actividades esenciales para el desarrollo integral de los niños y niñas”.</w:t>
            </w:r>
          </w:p>
          <w:p w:rsidR="00000000" w:rsidRDefault="00274FC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Una</w:t>
            </w:r>
            <w:r>
              <w:rPr>
                <w:rFonts w:ascii="Arial" w:hAnsi="Arial" w:cs="Arial"/>
                <w:color w:val="000000"/>
              </w:rPr>
              <w:t xml:space="preserve"> vez que las dosis arriban al país, son sometidas a la revisión de los reportes de temperatura y aprobación documental por el laboratorio de control de calidad de medicamentos, tras lo cual quedan disponibles para su utilización en la campaña de vacunación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274FC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1" w:name="_30j0zll"/>
            <w:bookmarkEnd w:id="1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FC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274FC0">
      <w:pPr>
        <w:rPr>
          <w:rFonts w:ascii="Arial" w:hAnsi="Arial" w:cs="Arial"/>
          <w:bCs/>
          <w:sz w:val="24"/>
          <w:szCs w:val="24"/>
        </w:rPr>
      </w:pPr>
    </w:p>
    <w:p w:rsidR="00000000" w:rsidRDefault="00274FC0">
      <w:pPr>
        <w:rPr>
          <w:rFonts w:ascii="Arial" w:hAnsi="Arial" w:cs="Arial"/>
          <w:bCs/>
          <w:sz w:val="24"/>
          <w:szCs w:val="24"/>
        </w:rPr>
      </w:pPr>
    </w:p>
    <w:p w:rsidR="00000000" w:rsidRDefault="00274FC0">
      <w:pPr>
        <w:rPr>
          <w:rFonts w:ascii="Arial" w:hAnsi="Arial" w:cs="Arial"/>
          <w:bCs/>
          <w:sz w:val="24"/>
          <w:szCs w:val="24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74FC0">
      <w:pPr>
        <w:spacing w:after="0" w:line="240" w:lineRule="auto"/>
      </w:pPr>
      <w:r>
        <w:separator/>
      </w:r>
    </w:p>
  </w:endnote>
  <w:endnote w:type="continuationSeparator" w:id="0">
    <w:p w:rsidR="00000000" w:rsidRDefault="0027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74FC0">
      <w:pPr>
        <w:spacing w:after="0" w:line="240" w:lineRule="auto"/>
      </w:pPr>
      <w:r>
        <w:separator/>
      </w:r>
    </w:p>
  </w:footnote>
  <w:footnote w:type="continuationSeparator" w:id="0">
    <w:p w:rsidR="00000000" w:rsidRDefault="0027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74FC0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C6241"/>
    <w:multiLevelType w:val="multilevel"/>
    <w:tmpl w:val="411E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0C2CDD"/>
    <w:multiLevelType w:val="multilevel"/>
    <w:tmpl w:val="A0E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F4114E5"/>
    <w:multiLevelType w:val="multilevel"/>
    <w:tmpl w:val="9340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71456A"/>
    <w:multiLevelType w:val="multilevel"/>
    <w:tmpl w:val="5BD42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06432775">
    <w:abstractNumId w:val="0"/>
    <w:lvlOverride w:ilvl="0"/>
  </w:num>
  <w:num w:numId="2" w16cid:durableId="69758595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18634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435727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86077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0"/>
    <w:rsid w:val="002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98E1-4B6F-430D-AD25-427B00D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4553</Characters>
  <Application>Microsoft Office Word</Application>
  <DocSecurity>0</DocSecurity>
  <Lines>37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2022-05-13T20:17:00Z</dcterms:created>
  <dcterms:modified xsi:type="dcterms:W3CDTF">2022-05-13T20:17:00Z</dcterms:modified>
</cp:coreProperties>
</file>