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5"/>
        <w:gridCol w:w="2976"/>
        <w:gridCol w:w="2942"/>
        <w:gridCol w:w="480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0F27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Donación permitirá que más de 2900 niñas y niños afectados por los huracanes ETA e IOTA cuenten con kit de útiles y mascarillas</w:t>
            </w:r>
          </w:p>
          <w:p w:rsidR="00000000" w:rsidRDefault="007F0F2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Cs w:val="28"/>
              </w:rPr>
              <w:drawing>
                <wp:inline distT="0" distB="0" distL="0" distR="0">
                  <wp:extent cx="5899785" cy="4126865"/>
                  <wp:effectExtent l="0" t="0" r="5715" b="6985"/>
                  <wp:docPr id="1" name="Imagen 6" descr="Edificio con letrero en frente y tienda al lad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Edificio con letrero en frente y tienda al lad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785" cy="412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0F27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La </w:t>
            </w:r>
            <w:r>
              <w:rPr>
                <w:rFonts w:ascii="Arial" w:hAnsi="Arial" w:cs="Arial"/>
                <w:bCs/>
                <w:i/>
              </w:rPr>
              <w:t>CNE recibió de parte de UNICEF una donación que asciende a $34,399.16.</w:t>
            </w:r>
          </w:p>
          <w:p w:rsidR="00000000" w:rsidRDefault="007F0F27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Estos artículos se distribuirán en los cantones que estuvieron bajo alerta roja por el paso de los eventos hidrometeorológicos ETA y IOTA.</w:t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08 de febrero del 2021</w:t>
            </w:r>
            <w:r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Más de dos 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il niños, niñas y jóvenes escolares y colegiales se verán beneficiados con una donación que el Fondo de las Naciones Unidas para la Infancia (UNICEF) realizó esta mañana a la Comisión Nacional de Prevención de Riesgos y Atención de Emergencias (CNE) para c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olaborar con las niñas, niños y adolescentes que tuvieron afectaciones producto de las emergencias del 2020.</w:t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 respuesta a una solicitud hecha a la Coordinación del Sistema de Naciones Unidas en Costa Rica, la CNE recibió de parte de UNICEF una donación q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ue asciende a $34,399.16. (aproximadamente 21 millones ochenta y nueve mil cuatrocientos treinta y siete colones). </w:t>
            </w:r>
          </w:p>
          <w:p w:rsidR="00000000" w:rsidRDefault="007F0F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30750" cy="2655570"/>
                  <wp:effectExtent l="0" t="0" r="0" b="0"/>
                  <wp:docPr id="2" name="Imagen 7" descr="Imagen que contiene edificio, hombre, sostener, jove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edificio, hombre, sostener, jove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0F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Esta colaboración está compuesta por los siguientes artículos:</w:t>
            </w:r>
          </w:p>
          <w:p w:rsidR="00000000" w:rsidRDefault="007F0F2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2920 Cuadernos cosido de 100 hojas</w:t>
            </w:r>
          </w:p>
          <w:p w:rsidR="00000000" w:rsidRDefault="007F0F2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2920 Bolso tipo caminata</w:t>
            </w:r>
          </w:p>
          <w:p w:rsidR="00000000" w:rsidRDefault="007F0F2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5840 Mascarilla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de tela con filtro</w:t>
            </w:r>
          </w:p>
          <w:p w:rsidR="00000000" w:rsidRDefault="007F0F2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2920 Alcohol en gel 250 ml</w:t>
            </w:r>
          </w:p>
          <w:p w:rsidR="00000000" w:rsidRDefault="007F0F2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2920 calcomanía impresa con los números de emergencia donde las niñas, niñas, y adolescentes pueden llamar para denunciar situaciones de violencia en el hogar.</w:t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Para Cecilia Fernández, jefa de la Unidad de Gest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ión de Operaciones de la CNE, esta colaboración de UNICEF es realmente valiosa ya que ““como padres y madres nos preocupamos por la seguridad de nuestros hijos al iniciar el ciclo lectivo. Esta donación viene a fortalecer las medidas sanitarias personales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 los menores y contribuye con aquellos que se vieron vulnerables por las emergencias presentadas en año pasado.”</w:t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El objetivo de esta donación es apoyar a los niños, niñas y adolescentes que se vieron afectados por la pandemia que generó el COVID-19 así c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omo por el paso de los huracanes ETA y IOTA. Esta emergencia provocó afectación en más 200 mil personas principalmente en la Vertiente del Pacífico.</w:t>
            </w:r>
          </w:p>
          <w:p w:rsidR="00000000" w:rsidRDefault="007F0F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30520" cy="3045460"/>
                  <wp:effectExtent l="0" t="0" r="0" b="2540"/>
                  <wp:docPr id="3" name="Imagen 4" descr="Imagen que contiene tabla, bolsa, hecho de madera, pues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tabla, bolsa, hecho de madera, pues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“En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UNICEF trabajamos para que las niñas, niños y adolescentes estén protegidos en cualquier circunstancia y especialmente en situaciones de emergencia. Los productos que hoy entregamos se suman a los esfuerzos que Costa Rica realiza para reabrir los centros 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ducativos y garantizar el retorno seguro ante el COVID-19 de la comunidad estudiantil. Recordemos que, ante cualquier emergencia, las escuelas deben ser las primeras en reabrir y las últimas en cerrar. Por eso, hoy celebramos con gran alegría el inicio de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ciclo lectivo”, afirmó Patricia Portela de Souza, representante de UNICEF en Costa Rica.</w:t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 partir de hoy, se iniciarán a distribuir los artículos en los cantones de Hojancha (208), Nicoya (208), Nandayure (210), Golfito (210), Corredores (210), Coto Brus (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208), Osa (208), Tarrazú (208), León Cortés (208), Quepos (208), Parrita (210), Garabito (208), Desamparados (208) y Puriscal (208), que estuvieron bajo alerta roja por el paso de los eventos hidrometeorológicos del año pasado y que tuvieron afectación por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la pandemia.  </w:t>
            </w:r>
          </w:p>
          <w:p w:rsidR="00000000" w:rsidRDefault="007F0F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Estos artículos serán recibidos por los coordinadores de los Comités Municipales de Emergencias (CME) quienes los distribuirán a los centros educativos en sus respectivos cantones.</w:t>
            </w:r>
          </w:p>
          <w:p w:rsidR="00000000" w:rsidRDefault="007F0F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54650" cy="4095115"/>
                  <wp:effectExtent l="0" t="0" r="0" b="635"/>
                  <wp:docPr id="4" name="Imagen 5" descr="Un par de personas de pie en la calle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Un par de personas de pie en la calle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0" cy="4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F2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7F0F27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63CA"/>
    <w:multiLevelType w:val="hybridMultilevel"/>
    <w:tmpl w:val="F918A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3FD6"/>
    <w:multiLevelType w:val="hybridMultilevel"/>
    <w:tmpl w:val="910A9A96"/>
    <w:lvl w:ilvl="0" w:tplc="E65AA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58446">
    <w:abstractNumId w:val="0"/>
  </w:num>
  <w:num w:numId="2" w16cid:durableId="15462111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306409">
    <w:abstractNumId w:val="1"/>
  </w:num>
  <w:num w:numId="4" w16cid:durableId="14940998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7"/>
    <w:rsid w:val="007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2022-05-13T20:15:00Z</dcterms:created>
  <dcterms:modified xsi:type="dcterms:W3CDTF">2022-05-13T20:15:00Z</dcterms:modified>
</cp:coreProperties>
</file>