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4"/>
        <w:gridCol w:w="2965"/>
        <w:gridCol w:w="2931"/>
        <w:gridCol w:w="494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pStyle w:val="Ttulo1"/>
              <w:jc w:val="center"/>
              <w:rPr>
                <w:rFonts w:eastAsia="Calibri"/>
                <w:b/>
                <w:bCs/>
                <w:lang w:val="es-ES"/>
              </w:rPr>
            </w:pPr>
            <w:r>
              <w:rPr>
                <w:rFonts w:eastAsia="Calibri"/>
                <w:b/>
                <w:bCs/>
                <w:lang w:val="es-ES"/>
              </w:rPr>
              <w:t>CNE capacitará a más de 400 docentes de Estudios Sociales y Cívica en gestión del riesgo</w:t>
            </w:r>
          </w:p>
          <w:p w:rsidR="00000000" w:rsidRDefault="00A74F8D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6599555" cy="3363595"/>
                  <wp:effectExtent l="0" t="0" r="0" b="8255"/>
                  <wp:docPr id="1" name="Imagen 1" descr="Niña sentada en una mes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iña sentada en una mes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55" cy="33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74F8D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eastAsia="Calibri" w:hAnsi="Arial" w:cs="Arial"/>
                <w:i/>
                <w:iCs/>
                <w:lang w:val="es-ES"/>
              </w:rPr>
            </w:pPr>
            <w:r>
              <w:rPr>
                <w:rFonts w:ascii="Arial" w:eastAsia="Calibri" w:hAnsi="Arial" w:cs="Arial"/>
                <w:i/>
                <w:iCs/>
                <w:lang w:val="es-ES"/>
              </w:rPr>
              <w:t xml:space="preserve">Las temáticas de </w:t>
            </w:r>
            <w:r>
              <w:rPr>
                <w:rFonts w:ascii="Arial" w:eastAsia="Calibri" w:hAnsi="Arial" w:cs="Arial"/>
                <w:i/>
                <w:iCs/>
                <w:lang w:val="es-ES"/>
              </w:rPr>
              <w:t>Gestión del Riesgo son parte de la malla curricular de Estudios Sociales y Cívica en primaria y secundaria.</w:t>
            </w:r>
          </w:p>
          <w:p w:rsidR="00000000" w:rsidRDefault="00A74F8D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La primera capacitación contó con una asistencia de más de 150 docentes y l</w:t>
            </w:r>
            <w:r>
              <w:rPr>
                <w:rFonts w:ascii="Arial" w:eastAsia="Calibri" w:hAnsi="Arial" w:cs="Arial"/>
              </w:rPr>
              <w:t xml:space="preserve">a segunda se realizará el próximo 13 de mayo </w:t>
            </w:r>
          </w:p>
          <w:p w:rsidR="00000000" w:rsidRDefault="00A74F8D">
            <w:pPr>
              <w:spacing w:after="0" w:line="256" w:lineRule="auto"/>
              <w:ind w:left="502"/>
              <w:contextualSpacing/>
              <w:jc w:val="both"/>
              <w:rPr>
                <w:rFonts w:ascii="Arial" w:eastAsia="Calibri" w:hAnsi="Arial" w:cs="Arial"/>
                <w:i/>
                <w:iCs/>
              </w:rPr>
            </w:pPr>
          </w:p>
          <w:p w:rsidR="00000000" w:rsidRDefault="00A74F8D">
            <w:pPr>
              <w:numPr>
                <w:ilvl w:val="0"/>
                <w:numId w:val="2"/>
              </w:numPr>
              <w:spacing w:after="0"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La formación de docentes p</w:t>
            </w:r>
            <w:r>
              <w:rPr>
                <w:rFonts w:ascii="Arial" w:eastAsia="Calibri" w:hAnsi="Arial" w:cs="Arial"/>
                <w:i/>
                <w:iCs/>
              </w:rPr>
              <w:t>ermite promover la cultura de prevención entre los estudiantes</w:t>
            </w:r>
          </w:p>
          <w:p w:rsidR="00000000" w:rsidRDefault="00A74F8D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San José, 30 de abril de 2021. </w:t>
            </w:r>
            <w:r>
              <w:rPr>
                <w:rFonts w:ascii="Arial" w:eastAsia="Calibri" w:hAnsi="Arial" w:cs="Arial"/>
                <w:sz w:val="24"/>
              </w:rPr>
              <w:t>La Comisión Nacional de Prevención de Riesgos y Atención de Emergencias (CNE), en conjunto con el Ministerio de Educación Pública (MEP), capacitarán en el primer</w:t>
            </w:r>
            <w:r>
              <w:rPr>
                <w:rFonts w:ascii="Arial" w:eastAsia="Calibri" w:hAnsi="Arial" w:cs="Arial"/>
                <w:sz w:val="24"/>
              </w:rPr>
              <w:t xml:space="preserve"> semestre de este año cerca de 400 docentes de las materias de Estudios Sociales y Cívica en temas relacionados con la gestión del riesgo.</w:t>
            </w:r>
          </w:p>
          <w:p w:rsidR="00000000" w:rsidRDefault="00A74F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El objetivo </w:t>
            </w:r>
            <w:r>
              <w:rPr>
                <w:rFonts w:ascii="Arial" w:eastAsia="Calibri" w:hAnsi="Arial" w:cs="Arial"/>
                <w:sz w:val="24"/>
              </w:rPr>
              <w:t xml:space="preserve">de las actividades es asesorar a los docentes en materia de Gestión del Riesgo desde una perspectiva conceptual y teórica basada en la ley N° 8488 (Ley Nacional de Emergencias y Prevención del Riesgo), además de cómo elaborar un plan de gestión del riesgo </w:t>
            </w:r>
            <w:r>
              <w:rPr>
                <w:rFonts w:ascii="Arial" w:eastAsia="Calibri" w:hAnsi="Arial" w:cs="Arial"/>
                <w:sz w:val="24"/>
              </w:rPr>
              <w:t xml:space="preserve">en un centro educativo: </w:t>
            </w:r>
            <w:hyperlink r:id="rId6" w:history="1">
              <w:r>
                <w:rPr>
                  <w:rStyle w:val="Hipervnculo"/>
                  <w:rFonts w:ascii="Arial" w:eastAsia="Calibri" w:hAnsi="Arial" w:cs="Arial"/>
                  <w:sz w:val="24"/>
                </w:rPr>
                <w:t>https://bit.ly/3sNffxK</w:t>
              </w:r>
            </w:hyperlink>
          </w:p>
          <w:p w:rsidR="00000000" w:rsidRDefault="00A74F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Además, se espera conectar los temas de gestión del riesgo con los programas de Estudios Sociales y Cívica para que puedan ser abordados en clases con el fin de crear una</w:t>
            </w:r>
            <w:r>
              <w:rPr>
                <w:rFonts w:ascii="Arial" w:eastAsia="Calibri" w:hAnsi="Arial" w:cs="Arial"/>
                <w:sz w:val="24"/>
              </w:rPr>
              <w:t xml:space="preserve"> cultura de gestión del riesgo entre los estudiantes. </w:t>
            </w:r>
          </w:p>
          <w:p w:rsidR="00000000" w:rsidRDefault="00A74F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El proceso de capacitación denominado: “Asesoría sobre gestión del riesgo en desastres desde una óptica conceptual y operativa” convocó el pasado 15 de abril, a docentes de la Dirección Regional de Des</w:t>
            </w:r>
            <w:r>
              <w:rPr>
                <w:rFonts w:ascii="Arial" w:eastAsia="Calibri" w:hAnsi="Arial" w:cs="Arial"/>
                <w:sz w:val="24"/>
              </w:rPr>
              <w:t>amparados compuesta por los cantones de Aserrí, Acosta y Desamparados, y contó con una participación de más de 150 docentes.</w:t>
            </w:r>
          </w:p>
          <w:p w:rsidR="00000000" w:rsidRDefault="00A74F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La segunda capacitación será el próximo 13 de mayo con los docentes de la Dirección Regional de Cañas compuesta por Abangares, Caña</w:t>
            </w:r>
            <w:r>
              <w:rPr>
                <w:rFonts w:ascii="Arial" w:eastAsia="Calibri" w:hAnsi="Arial" w:cs="Arial"/>
                <w:sz w:val="24"/>
              </w:rPr>
              <w:t>s y Tilarán y se espera contar con la participación de al menos 250 docentes.</w:t>
            </w: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Ramón Araya, jefe de la Unidad de Normalización y Asesoría de la CNE, expresó su satisfacción debido a la importancia de incorporar la temática de la gestión del riesgo en las au</w:t>
            </w:r>
            <w:r>
              <w:rPr>
                <w:rFonts w:ascii="Arial" w:eastAsia="Calibri" w:hAnsi="Arial" w:cs="Arial"/>
                <w:sz w:val="24"/>
              </w:rPr>
              <w:t>las ya que “los niños representan uno de los grupos más vulnerables en momentos de desastre, por lo tanto, es indispensable su educación y seguridad escolar”.</w:t>
            </w: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Para Arnaldo Rodríguez Espinoza, docente de educación cívica “es importante tener un conocimiento</w:t>
            </w:r>
            <w:r>
              <w:rPr>
                <w:rFonts w:ascii="Arial" w:eastAsia="Calibri" w:hAnsi="Arial" w:cs="Arial"/>
                <w:sz w:val="24"/>
              </w:rPr>
              <w:t xml:space="preserve"> actualizado sobre los riesgos, entender que nos enfrentamos cada día a situaciones de desastres y que es importante conocer qué hacer, y que los estudiantes lo conozcan”.</w:t>
            </w: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Este proceso de capacitación se realiza de manera conjunta entre la CNE y el Ministe</w:t>
            </w:r>
            <w:r>
              <w:rPr>
                <w:rFonts w:ascii="Arial" w:eastAsia="Calibri" w:hAnsi="Arial" w:cs="Arial"/>
                <w:sz w:val="24"/>
              </w:rPr>
              <w:t>rio de Educación Pública desde el 2018 y debido a la situación de pandemia, hoy se imparte de manera virtual a docentes de las materias de Cívica y Estudios Sociales de estas regiones.</w:t>
            </w: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El Asesor Regional de Estudios Sociales y Cívica de Cañas, Grehivin Avi</w:t>
            </w:r>
            <w:r>
              <w:rPr>
                <w:rFonts w:ascii="Arial" w:eastAsia="Calibri" w:hAnsi="Arial" w:cs="Arial"/>
                <w:sz w:val="24"/>
              </w:rPr>
              <w:t>lés Ortiz, considera “importantísimo que los docentes se informen, sean conscientes y estén en constante actualización sobre los temas de gestión del riesgo, estos cursos son de gran provecho y enriquecimiento para todos”</w:t>
            </w:r>
          </w:p>
          <w:p w:rsidR="00000000" w:rsidRDefault="00A74F8D">
            <w:pPr>
              <w:spacing w:line="25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Las temáticas de Gestión del Riesg</w:t>
            </w:r>
            <w:r>
              <w:rPr>
                <w:rFonts w:ascii="Arial" w:eastAsia="Calibri" w:hAnsi="Arial" w:cs="Arial"/>
                <w:sz w:val="24"/>
              </w:rPr>
              <w:t>o son parte de la malla curricular de Estudios Sociales y Cívica de primaria y secundaria.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F8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A74F8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C47"/>
    <w:multiLevelType w:val="hybridMultilevel"/>
    <w:tmpl w:val="46B86CE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85717173">
    <w:abstractNumId w:val="0"/>
  </w:num>
  <w:num w:numId="2" w16cid:durableId="5679583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8D"/>
    <w:rsid w:val="00A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Nffx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2022-05-13T20:08:00Z</dcterms:created>
  <dcterms:modified xsi:type="dcterms:W3CDTF">2022-05-13T20:08:00Z</dcterms:modified>
</cp:coreProperties>
</file>