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Ind w:w="720" w:type="dxa"/>
        <w:tblLook w:val="04A0" w:firstRow="1" w:lastRow="0" w:firstColumn="1" w:lastColumn="0" w:noHBand="0" w:noVBand="1"/>
      </w:tblPr>
      <w:tblGrid>
        <w:gridCol w:w="221"/>
        <w:gridCol w:w="1068"/>
        <w:gridCol w:w="3451"/>
        <w:gridCol w:w="3411"/>
        <w:gridCol w:w="537"/>
        <w:gridCol w:w="221"/>
      </w:tblGrid>
      <w:tr w:rsidR="00000000">
        <w:tc>
          <w:tcPr>
            <w:tcW w:w="270" w:type="dxa"/>
            <w:tcBorders>
              <w:top w:val="single" w:sz="4" w:space="0" w:color="auto"/>
              <w:left w:val="single" w:sz="4" w:space="0" w:color="auto"/>
              <w:bottom w:val="single" w:sz="4" w:space="0" w:color="auto"/>
              <w:right w:val="single" w:sz="4" w:space="0" w:color="auto"/>
            </w:tcBorders>
          </w:tcPr>
          <w:p w:rsidR="00000000" w:rsidRDefault="00EE4BAE">
            <w:pPr>
              <w:spacing w:after="0" w:line="240" w:lineRule="auto"/>
              <w:rPr>
                <w:rFonts w:ascii="Arial" w:hAnsi="Arial" w:cs="Arial"/>
                <w:bCs/>
                <w:color w:val="000000"/>
                <w:sz w:val="24"/>
                <w:szCs w:val="24"/>
                <w:lang w:eastAsia="es-CR"/>
              </w:rPr>
            </w:pPr>
            <w:bookmarkStart w:id="0" w:name="_Hlk55638375"/>
          </w:p>
        </w:tc>
        <w:tc>
          <w:tcPr>
            <w:tcW w:w="7569" w:type="dxa"/>
            <w:gridSpan w:val="4"/>
            <w:tcBorders>
              <w:top w:val="single" w:sz="4" w:space="0" w:color="auto"/>
              <w:left w:val="single" w:sz="4" w:space="0" w:color="auto"/>
              <w:bottom w:val="single" w:sz="4" w:space="0" w:color="auto"/>
              <w:right w:val="single" w:sz="4" w:space="0" w:color="auto"/>
            </w:tcBorders>
          </w:tcPr>
          <w:p w:rsidR="00000000" w:rsidRDefault="00EE4BAE">
            <w:pPr>
              <w:jc w:val="center"/>
              <w:rPr>
                <w:b/>
                <w:bCs/>
                <w:sz w:val="28"/>
                <w:szCs w:val="28"/>
              </w:rPr>
            </w:pPr>
            <w:r>
              <w:rPr>
                <w:b/>
                <w:bCs/>
                <w:sz w:val="28"/>
                <w:szCs w:val="28"/>
              </w:rPr>
              <w:t>A un año del primer caso de COVID</w:t>
            </w:r>
          </w:p>
          <w:p w:rsidR="00000000" w:rsidRDefault="00EE4BAE">
            <w:pPr>
              <w:pStyle w:val="Ttulo1"/>
              <w:jc w:val="center"/>
              <w:rPr>
                <w:b/>
                <w:bCs/>
              </w:rPr>
            </w:pPr>
            <w:r>
              <w:rPr>
                <w:b/>
                <w:bCs/>
              </w:rPr>
              <w:t>Resaltamos el trabajo conjunto que sacó adelante al país</w:t>
            </w:r>
          </w:p>
          <w:p w:rsidR="00000000" w:rsidRDefault="00EE4BAE">
            <w:pPr>
              <w:spacing w:after="0" w:line="240" w:lineRule="auto"/>
              <w:ind w:left="360"/>
              <w:jc w:val="center"/>
              <w:rPr>
                <w:rFonts w:ascii="Times New Roman" w:hAnsi="Times New Roman" w:cs="Times New Roman"/>
                <w:b/>
                <w:sz w:val="32"/>
                <w:szCs w:val="32"/>
              </w:rPr>
            </w:pPr>
          </w:p>
          <w:p w:rsidR="00000000" w:rsidRDefault="00EE4BAE">
            <w:pPr>
              <w:spacing w:after="0" w:line="240" w:lineRule="auto"/>
              <w:ind w:left="360"/>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22670" cy="4587875"/>
                  <wp:effectExtent l="0" t="0" r="0" b="3175"/>
                  <wp:docPr id="1" name="Imagen 1" descr="Botella de plásti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Botella de plástico&#10;&#10;Descripción generada automáticamente con confianza baj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2670" cy="4587875"/>
                          </a:xfrm>
                          <a:prstGeom prst="rect">
                            <a:avLst/>
                          </a:prstGeom>
                          <a:noFill/>
                          <a:ln>
                            <a:noFill/>
                          </a:ln>
                        </pic:spPr>
                      </pic:pic>
                    </a:graphicData>
                  </a:graphic>
                </wp:inline>
              </w:drawing>
            </w:r>
          </w:p>
          <w:p w:rsidR="00000000" w:rsidRDefault="00EE4BAE">
            <w:pPr>
              <w:pStyle w:val="Prrafodelista"/>
              <w:numPr>
                <w:ilvl w:val="0"/>
                <w:numId w:val="5"/>
              </w:numPr>
              <w:spacing w:after="0" w:line="240" w:lineRule="auto"/>
              <w:rPr>
                <w:rFonts w:ascii="Arial" w:hAnsi="Arial" w:cs="Arial"/>
                <w:i/>
                <w:iCs/>
              </w:rPr>
            </w:pPr>
            <w:r>
              <w:rPr>
                <w:rFonts w:ascii="Arial" w:hAnsi="Arial" w:cs="Arial"/>
                <w:i/>
                <w:iCs/>
              </w:rPr>
              <w:t>Se llevó a cabo mayor operativo de ayuda humanitaria en la historia de la CNE</w:t>
            </w:r>
          </w:p>
          <w:p w:rsidR="00000000" w:rsidRDefault="00EE4BAE">
            <w:pPr>
              <w:pStyle w:val="Prrafodelista"/>
              <w:numPr>
                <w:ilvl w:val="0"/>
                <w:numId w:val="5"/>
              </w:numPr>
              <w:spacing w:after="0" w:line="240" w:lineRule="auto"/>
              <w:rPr>
                <w:rFonts w:ascii="Arial" w:hAnsi="Arial" w:cs="Arial"/>
                <w:i/>
                <w:iCs/>
              </w:rPr>
            </w:pPr>
            <w:r>
              <w:rPr>
                <w:rFonts w:ascii="Arial" w:hAnsi="Arial" w:cs="Arial"/>
                <w:i/>
                <w:iCs/>
              </w:rPr>
              <w:t xml:space="preserve">CNE </w:t>
            </w:r>
            <w:r>
              <w:rPr>
                <w:rFonts w:ascii="Arial" w:hAnsi="Arial" w:cs="Arial"/>
                <w:i/>
                <w:iCs/>
              </w:rPr>
              <w:t>dirigió la compra de vacunas e insumos complementarios para la vacunación contra el COVID-19</w:t>
            </w:r>
          </w:p>
          <w:p w:rsidR="00000000" w:rsidRDefault="00EE4BAE">
            <w:pPr>
              <w:pStyle w:val="Prrafodelista"/>
              <w:numPr>
                <w:ilvl w:val="0"/>
                <w:numId w:val="5"/>
              </w:numPr>
              <w:spacing w:after="0" w:line="240" w:lineRule="auto"/>
              <w:rPr>
                <w:rFonts w:ascii="Arial" w:hAnsi="Arial" w:cs="Arial"/>
                <w:i/>
                <w:iCs/>
              </w:rPr>
            </w:pPr>
            <w:r>
              <w:rPr>
                <w:rFonts w:ascii="Arial" w:hAnsi="Arial" w:cs="Arial"/>
                <w:i/>
                <w:iCs/>
              </w:rPr>
              <w:t>Se impulsó el Modelo de Gestión Compartida Costa Rica Trabaja y Se Cuida con enfoque comunitario</w:t>
            </w:r>
          </w:p>
          <w:p w:rsidR="00000000" w:rsidRDefault="00EE4BAE">
            <w:pPr>
              <w:pStyle w:val="Prrafodelista"/>
              <w:numPr>
                <w:ilvl w:val="0"/>
                <w:numId w:val="5"/>
              </w:numPr>
              <w:spacing w:after="0" w:line="240" w:lineRule="auto"/>
              <w:rPr>
                <w:rFonts w:ascii="Arial" w:hAnsi="Arial" w:cs="Arial"/>
                <w:i/>
                <w:iCs/>
              </w:rPr>
            </w:pPr>
            <w:r>
              <w:rPr>
                <w:rFonts w:ascii="Arial" w:hAnsi="Arial" w:cs="Arial"/>
                <w:i/>
                <w:iCs/>
              </w:rPr>
              <w:t>Articuló las instituciones para la atención de la emergencia sanit</w:t>
            </w:r>
            <w:r>
              <w:rPr>
                <w:rFonts w:ascii="Arial" w:hAnsi="Arial" w:cs="Arial"/>
                <w:i/>
                <w:iCs/>
              </w:rPr>
              <w:t xml:space="preserve">aria con un modelo de mesas sectoriales y se definieron las alertas </w:t>
            </w:r>
          </w:p>
          <w:p w:rsidR="00000000" w:rsidRDefault="00EE4BAE">
            <w:pPr>
              <w:pStyle w:val="Prrafodelista"/>
              <w:numPr>
                <w:ilvl w:val="0"/>
                <w:numId w:val="5"/>
              </w:numPr>
              <w:spacing w:after="0" w:line="240" w:lineRule="auto"/>
              <w:rPr>
                <w:rFonts w:ascii="Arial" w:hAnsi="Arial" w:cs="Arial"/>
                <w:i/>
                <w:iCs/>
              </w:rPr>
            </w:pPr>
            <w:r>
              <w:rPr>
                <w:rFonts w:ascii="Arial" w:hAnsi="Arial" w:cs="Arial"/>
                <w:i/>
                <w:iCs/>
              </w:rPr>
              <w:t>Habilitó albergues para personas con COVID-19 en diferentes partes del país y personas de la calle.</w:t>
            </w:r>
          </w:p>
          <w:p w:rsidR="00000000" w:rsidRDefault="00EE4BAE">
            <w:pPr>
              <w:pStyle w:val="Prrafodelista"/>
              <w:spacing w:after="0" w:line="240" w:lineRule="auto"/>
              <w:rPr>
                <w:rFonts w:ascii="Arial" w:hAnsi="Arial" w:cs="Arial"/>
                <w:i/>
                <w:iCs/>
              </w:rPr>
            </w:pPr>
          </w:p>
          <w:p w:rsidR="00000000" w:rsidRDefault="00EE4BAE">
            <w:pPr>
              <w:rPr>
                <w:rFonts w:ascii="Arial" w:hAnsi="Arial" w:cs="Arial"/>
                <w:bCs/>
                <w:iCs/>
                <w:sz w:val="24"/>
                <w:szCs w:val="24"/>
              </w:rPr>
            </w:pPr>
            <w:r>
              <w:rPr>
                <w:rFonts w:ascii="Arial" w:hAnsi="Arial" w:cs="Arial"/>
                <w:b/>
                <w:i/>
              </w:rPr>
              <w:t>San José, 06 de marzo del 2021</w:t>
            </w:r>
            <w:r>
              <w:rPr>
                <w:rFonts w:ascii="Arial" w:hAnsi="Arial" w:cs="Arial"/>
                <w:bCs/>
                <w:i/>
                <w:sz w:val="24"/>
                <w:szCs w:val="24"/>
              </w:rPr>
              <w:t>.</w:t>
            </w:r>
            <w:r>
              <w:rPr>
                <w:rFonts w:ascii="Arial" w:hAnsi="Arial" w:cs="Arial"/>
                <w:bCs/>
                <w:iCs/>
                <w:sz w:val="24"/>
                <w:szCs w:val="24"/>
              </w:rPr>
              <w:t xml:space="preserve"> Hoy hace un año, el país recibía la noticia del primer</w:t>
            </w:r>
            <w:r>
              <w:rPr>
                <w:rFonts w:ascii="Arial" w:hAnsi="Arial" w:cs="Arial"/>
                <w:bCs/>
                <w:iCs/>
                <w:sz w:val="24"/>
                <w:szCs w:val="24"/>
              </w:rPr>
              <w:t xml:space="preserve"> caso de una persona contagiada por el virus del Sars Cov 2 en Costa Rica. </w:t>
            </w:r>
          </w:p>
          <w:p w:rsidR="00000000" w:rsidRDefault="00EE4BAE">
            <w:pPr>
              <w:rPr>
                <w:rFonts w:ascii="Arial" w:hAnsi="Arial" w:cs="Arial"/>
                <w:sz w:val="24"/>
                <w:szCs w:val="24"/>
              </w:rPr>
            </w:pPr>
            <w:r>
              <w:rPr>
                <w:rFonts w:ascii="Arial" w:hAnsi="Arial" w:cs="Arial"/>
                <w:sz w:val="24"/>
                <w:szCs w:val="24"/>
              </w:rPr>
              <w:t xml:space="preserve">Desde que se dieron los primeros casos del COVID-19 en el mundo, la </w:t>
            </w:r>
            <w:r>
              <w:rPr>
                <w:rFonts w:ascii="Arial" w:hAnsi="Arial" w:cs="Arial"/>
                <w:bCs/>
                <w:iCs/>
                <w:sz w:val="24"/>
                <w:szCs w:val="24"/>
              </w:rPr>
              <w:t>Comisión Nacional de Prevención de Riesgos y Atención de Emergencias (</w:t>
            </w:r>
            <w:r>
              <w:rPr>
                <w:rFonts w:ascii="Arial" w:hAnsi="Arial" w:cs="Arial"/>
                <w:sz w:val="24"/>
                <w:szCs w:val="24"/>
              </w:rPr>
              <w:t>CNE) y las instituciones del Sistema Nacio</w:t>
            </w:r>
            <w:r>
              <w:rPr>
                <w:rFonts w:ascii="Arial" w:hAnsi="Arial" w:cs="Arial"/>
                <w:sz w:val="24"/>
                <w:szCs w:val="24"/>
              </w:rPr>
              <w:t xml:space="preserve">nal de Gestión del Riesgo (SNGR) fueron tomando una serie de medidas con el fin de evitar un impacto letal en el país. </w:t>
            </w:r>
          </w:p>
          <w:p w:rsidR="00000000" w:rsidRDefault="00EE4BAE">
            <w:pPr>
              <w:rPr>
                <w:rFonts w:ascii="Arial" w:hAnsi="Arial" w:cs="Arial"/>
                <w:sz w:val="24"/>
                <w:szCs w:val="24"/>
              </w:rPr>
            </w:pPr>
            <w:r>
              <w:rPr>
                <w:rFonts w:ascii="Arial" w:hAnsi="Arial" w:cs="Arial"/>
                <w:sz w:val="24"/>
                <w:szCs w:val="24"/>
              </w:rPr>
              <w:lastRenderedPageBreak/>
              <w:t>Un año después, gracias a la robusta articulación de un Sistema Nacional de Gestión del Riesgo conformado por la amplia participación de</w:t>
            </w:r>
            <w:r>
              <w:rPr>
                <w:rFonts w:ascii="Arial" w:hAnsi="Arial" w:cs="Arial"/>
                <w:sz w:val="24"/>
                <w:szCs w:val="24"/>
              </w:rPr>
              <w:t xml:space="preserve"> instituciones y bajo la rectoría de la CNE, </w:t>
            </w:r>
            <w:r>
              <w:rPr>
                <w:rFonts w:ascii="Arial" w:hAnsi="Arial" w:cs="Arial"/>
                <w:bCs/>
                <w:iCs/>
                <w:sz w:val="24"/>
                <w:szCs w:val="24"/>
              </w:rPr>
              <w:t>y al desarrollo de b</w:t>
            </w:r>
            <w:r>
              <w:rPr>
                <w:rFonts w:ascii="Arial" w:hAnsi="Arial" w:cs="Arial"/>
                <w:sz w:val="24"/>
                <w:szCs w:val="24"/>
              </w:rPr>
              <w:t>uenas prácticas por parte de la ciudadanía se ha logrado atender con éxito, hasta la fecha, una emergencia de características históricas.</w:t>
            </w:r>
          </w:p>
          <w:p w:rsidR="00000000" w:rsidRDefault="00EE4BAE">
            <w:pPr>
              <w:jc w:val="center"/>
              <w:rPr>
                <w:rFonts w:ascii="Arial" w:hAnsi="Arial" w:cs="Arial"/>
                <w:sz w:val="24"/>
                <w:szCs w:val="24"/>
              </w:rPr>
            </w:pPr>
            <w:r>
              <w:rPr>
                <w:rFonts w:ascii="Arial" w:hAnsi="Arial" w:cs="Arial"/>
                <w:noProof/>
                <w:sz w:val="24"/>
                <w:szCs w:val="24"/>
              </w:rPr>
              <w:drawing>
                <wp:inline distT="0" distB="0" distL="0" distR="0">
                  <wp:extent cx="5438775" cy="4079240"/>
                  <wp:effectExtent l="0" t="0" r="9525" b="0"/>
                  <wp:docPr id="2" name="Imagen 4" descr="Un letrero de color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Un letrero de color blanco&#10;&#10;Descripción generada automáticamente con confianza m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775" cy="4079240"/>
                          </a:xfrm>
                          <a:prstGeom prst="rect">
                            <a:avLst/>
                          </a:prstGeom>
                          <a:noFill/>
                          <a:ln>
                            <a:noFill/>
                          </a:ln>
                        </pic:spPr>
                      </pic:pic>
                    </a:graphicData>
                  </a:graphic>
                </wp:inline>
              </w:drawing>
            </w:r>
          </w:p>
          <w:p w:rsidR="00000000" w:rsidRDefault="00EE4BAE">
            <w:pPr>
              <w:rPr>
                <w:rFonts w:ascii="Arial" w:hAnsi="Arial" w:cs="Arial"/>
                <w:sz w:val="24"/>
                <w:szCs w:val="24"/>
              </w:rPr>
            </w:pPr>
            <w:r>
              <w:rPr>
                <w:rFonts w:ascii="Arial" w:hAnsi="Arial" w:cs="Arial"/>
                <w:sz w:val="24"/>
                <w:szCs w:val="24"/>
              </w:rPr>
              <w:t xml:space="preserve">Como </w:t>
            </w:r>
            <w:r>
              <w:rPr>
                <w:rFonts w:ascii="Arial" w:hAnsi="Arial" w:cs="Arial"/>
                <w:sz w:val="24"/>
                <w:szCs w:val="24"/>
              </w:rPr>
              <w:t>parte de las medias de atención, al ingresar el COVID-19 a nuestro país, la CNE declara el pasado 08 de marzo, la condición de Alerta Amarilla para todo el territorio nacional, con lo cual se convoca al Centro de Operaciones de Emergencias (COE) y se activ</w:t>
            </w:r>
            <w:r>
              <w:rPr>
                <w:rFonts w:ascii="Arial" w:hAnsi="Arial" w:cs="Arial"/>
                <w:sz w:val="24"/>
                <w:szCs w:val="24"/>
              </w:rPr>
              <w:t xml:space="preserve">an las mesas operativas temáticas, con el fin de movilizar recursos de manera interinstitucional. </w:t>
            </w:r>
          </w:p>
          <w:p w:rsidR="00000000" w:rsidRDefault="00EE4BAE">
            <w:pPr>
              <w:rPr>
                <w:rFonts w:ascii="Arial" w:hAnsi="Arial" w:cs="Arial"/>
                <w:bCs/>
                <w:iCs/>
                <w:sz w:val="24"/>
                <w:szCs w:val="24"/>
              </w:rPr>
            </w:pPr>
            <w:r>
              <w:rPr>
                <w:rFonts w:ascii="Arial" w:hAnsi="Arial" w:cs="Arial"/>
                <w:bCs/>
                <w:iCs/>
                <w:sz w:val="24"/>
                <w:szCs w:val="24"/>
              </w:rPr>
              <w:t>En el marco de la emergencia sanitaria, la CNE intervino tanto en la atención de la emergencia, como en el impacto colateral socioeconómico que afectó a mile</w:t>
            </w:r>
            <w:r>
              <w:rPr>
                <w:rFonts w:ascii="Arial" w:hAnsi="Arial" w:cs="Arial"/>
                <w:bCs/>
                <w:iCs/>
                <w:sz w:val="24"/>
                <w:szCs w:val="24"/>
              </w:rPr>
              <w:t xml:space="preserve">s de familias costarricenses. </w:t>
            </w:r>
          </w:p>
          <w:p w:rsidR="00000000" w:rsidRDefault="00EE4BAE">
            <w:pPr>
              <w:rPr>
                <w:rFonts w:ascii="Arial" w:hAnsi="Arial" w:cs="Arial"/>
                <w:sz w:val="24"/>
                <w:szCs w:val="24"/>
              </w:rPr>
            </w:pPr>
            <w:r>
              <w:rPr>
                <w:rFonts w:ascii="Arial" w:hAnsi="Arial" w:cs="Arial"/>
                <w:sz w:val="24"/>
                <w:szCs w:val="24"/>
              </w:rPr>
              <w:t xml:space="preserve">Desde el inicio de la pandemia, la CNE organizó el más grande operativo de asistencia humanitaria distribuyendo alimento a más de </w:t>
            </w:r>
            <w:r>
              <w:rPr>
                <w:rFonts w:ascii="Arial" w:hAnsi="Arial" w:cs="Arial"/>
                <w:b/>
                <w:bCs/>
                <w:sz w:val="24"/>
                <w:szCs w:val="24"/>
              </w:rPr>
              <w:t xml:space="preserve">340 mil familias impactadas por la emergencia </w:t>
            </w:r>
            <w:r>
              <w:rPr>
                <w:rFonts w:ascii="Arial" w:hAnsi="Arial" w:cs="Arial"/>
                <w:sz w:val="24"/>
                <w:szCs w:val="24"/>
              </w:rPr>
              <w:t>mediante la coordinación con los Comités Municipa</w:t>
            </w:r>
            <w:r>
              <w:rPr>
                <w:rFonts w:ascii="Arial" w:hAnsi="Arial" w:cs="Arial"/>
                <w:sz w:val="24"/>
                <w:szCs w:val="24"/>
              </w:rPr>
              <w:t xml:space="preserve">les de Emergencia, asociaciones de desarrollo, ONGs, y organización civil. </w:t>
            </w:r>
          </w:p>
          <w:p w:rsidR="00000000" w:rsidRDefault="00EE4BAE">
            <w:pPr>
              <w:jc w:val="center"/>
              <w:rPr>
                <w:rFonts w:ascii="Arial" w:hAnsi="Arial" w:cs="Arial"/>
                <w:sz w:val="24"/>
                <w:szCs w:val="24"/>
              </w:rPr>
            </w:pPr>
            <w:r>
              <w:rPr>
                <w:rFonts w:ascii="Arial" w:hAnsi="Arial" w:cs="Arial"/>
                <w:noProof/>
                <w:sz w:val="24"/>
                <w:szCs w:val="24"/>
              </w:rPr>
              <w:lastRenderedPageBreak/>
              <w:drawing>
                <wp:inline distT="0" distB="0" distL="0" distR="0">
                  <wp:extent cx="5454650" cy="4086860"/>
                  <wp:effectExtent l="0" t="0" r="0" b="8890"/>
                  <wp:docPr id="3" name="Imagen 3" descr="Un par de personas de pi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Un par de personas de pie&#10;&#10;Descripción generada automáticamente con confianza baj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4650" cy="4086860"/>
                          </a:xfrm>
                          <a:prstGeom prst="rect">
                            <a:avLst/>
                          </a:prstGeom>
                          <a:noFill/>
                          <a:ln>
                            <a:noFill/>
                          </a:ln>
                        </pic:spPr>
                      </pic:pic>
                    </a:graphicData>
                  </a:graphic>
                </wp:inline>
              </w:drawing>
            </w:r>
          </w:p>
          <w:p w:rsidR="00000000" w:rsidRDefault="00EE4BAE">
            <w:pPr>
              <w:rPr>
                <w:rFonts w:ascii="Arial" w:hAnsi="Arial" w:cs="Arial"/>
                <w:sz w:val="24"/>
                <w:szCs w:val="24"/>
              </w:rPr>
            </w:pPr>
            <w:r>
              <w:rPr>
                <w:rFonts w:ascii="Arial" w:hAnsi="Arial" w:cs="Arial"/>
                <w:sz w:val="24"/>
                <w:szCs w:val="24"/>
              </w:rPr>
              <w:t>Estos insumos beneficiaron a familias que tuvieron disminución jornada laboral, suspensión de contratos laborales, personas adultas mayores, personas con discapacidad, mujeres in</w:t>
            </w:r>
            <w:r>
              <w:rPr>
                <w:rFonts w:ascii="Arial" w:hAnsi="Arial" w:cs="Arial"/>
                <w:sz w:val="24"/>
                <w:szCs w:val="24"/>
              </w:rPr>
              <w:t>dependientes, población indígena u otras personas en riesgo social</w:t>
            </w:r>
          </w:p>
          <w:p w:rsidR="00000000" w:rsidRDefault="00EE4BAE">
            <w:pPr>
              <w:rPr>
                <w:sz w:val="24"/>
                <w:szCs w:val="24"/>
              </w:rPr>
            </w:pPr>
            <w:r>
              <w:rPr>
                <w:rFonts w:ascii="Arial" w:hAnsi="Arial" w:cs="Arial"/>
                <w:sz w:val="24"/>
                <w:szCs w:val="24"/>
              </w:rPr>
              <w:t xml:space="preserve">Para llevar a cabo este operativo a escala nacional, la CNE adquirió las raciones alimenticias mediante la </w:t>
            </w:r>
            <w:r>
              <w:rPr>
                <w:sz w:val="24"/>
                <w:szCs w:val="24"/>
              </w:rPr>
              <w:t xml:space="preserve">contratación de </w:t>
            </w:r>
            <w:r>
              <w:rPr>
                <w:rFonts w:ascii="Arial" w:hAnsi="Arial" w:cs="Arial"/>
                <w:b/>
                <w:bCs/>
                <w:sz w:val="24"/>
                <w:szCs w:val="24"/>
              </w:rPr>
              <w:t>132 proveedores a escala nacional y local</w:t>
            </w:r>
            <w:r>
              <w:rPr>
                <w:rFonts w:ascii="Arial" w:hAnsi="Arial" w:cs="Arial"/>
                <w:sz w:val="24"/>
                <w:szCs w:val="24"/>
              </w:rPr>
              <w:t>, quienes realizaron esfu</w:t>
            </w:r>
            <w:r>
              <w:rPr>
                <w:rFonts w:ascii="Arial" w:hAnsi="Arial" w:cs="Arial"/>
                <w:sz w:val="24"/>
                <w:szCs w:val="24"/>
              </w:rPr>
              <w:t xml:space="preserve">erzos extraordinarios por elaborar los diarios en el menor tiempo por la urgencia alimenticia que tenían cientos de costarricenses. </w:t>
            </w:r>
          </w:p>
          <w:p w:rsidR="00000000" w:rsidRDefault="00EE4BAE">
            <w:pPr>
              <w:rPr>
                <w:rFonts w:ascii="Arial" w:hAnsi="Arial" w:cs="Arial"/>
                <w:sz w:val="24"/>
                <w:szCs w:val="24"/>
                <w:lang w:val="es-PA"/>
              </w:rPr>
            </w:pPr>
            <w:r>
              <w:rPr>
                <w:rFonts w:ascii="Arial" w:hAnsi="Arial" w:cs="Arial"/>
                <w:sz w:val="24"/>
                <w:szCs w:val="24"/>
              </w:rPr>
              <w:t xml:space="preserve">La CNE como órgano rector, también dio soporte a 43 instituciones del Sistema Nacional de Gestión del Riesgo con el fin de </w:t>
            </w:r>
            <w:r>
              <w:rPr>
                <w:rFonts w:ascii="Arial" w:hAnsi="Arial" w:cs="Arial"/>
                <w:sz w:val="24"/>
                <w:szCs w:val="24"/>
              </w:rPr>
              <w:t xml:space="preserve">dar apoyo en las labores que realizaban funcionarios de diferentes instituciones en la atención de la pandemia, mediante la entrega de </w:t>
            </w:r>
            <w:r>
              <w:rPr>
                <w:rFonts w:ascii="Arial" w:hAnsi="Arial" w:cs="Arial"/>
                <w:b/>
                <w:bCs/>
                <w:sz w:val="24"/>
                <w:szCs w:val="24"/>
                <w:lang w:val="es-PA"/>
              </w:rPr>
              <w:t xml:space="preserve">557.922 mascarillas quirúrgicas, 10.316 </w:t>
            </w:r>
            <w:r>
              <w:rPr>
                <w:rFonts w:ascii="Arial" w:hAnsi="Arial" w:cs="Arial"/>
                <w:sz w:val="24"/>
                <w:szCs w:val="24"/>
                <w:lang w:val="es-PA"/>
              </w:rPr>
              <w:t>pichingas de agua</w:t>
            </w:r>
            <w:r>
              <w:rPr>
                <w:rFonts w:ascii="Arial" w:hAnsi="Arial" w:cs="Arial"/>
                <w:b/>
                <w:bCs/>
                <w:sz w:val="24"/>
                <w:szCs w:val="24"/>
                <w:lang w:val="es-PA"/>
              </w:rPr>
              <w:t xml:space="preserve">, 326 </w:t>
            </w:r>
            <w:r>
              <w:rPr>
                <w:rFonts w:ascii="Arial" w:hAnsi="Arial" w:cs="Arial"/>
                <w:sz w:val="24"/>
                <w:szCs w:val="24"/>
                <w:lang w:val="es-PA"/>
              </w:rPr>
              <w:t>tanques para agua</w:t>
            </w:r>
            <w:r>
              <w:rPr>
                <w:rFonts w:ascii="Arial" w:hAnsi="Arial" w:cs="Arial"/>
                <w:b/>
                <w:bCs/>
                <w:sz w:val="24"/>
                <w:szCs w:val="24"/>
                <w:lang w:val="es-PA"/>
              </w:rPr>
              <w:t xml:space="preserve">, 12.688 </w:t>
            </w:r>
            <w:r>
              <w:rPr>
                <w:rFonts w:ascii="Arial" w:hAnsi="Arial" w:cs="Arial"/>
                <w:sz w:val="24"/>
                <w:szCs w:val="24"/>
                <w:lang w:val="es-PA"/>
              </w:rPr>
              <w:t>cajas de guantes</w:t>
            </w:r>
            <w:r>
              <w:rPr>
                <w:rFonts w:ascii="Arial" w:hAnsi="Arial" w:cs="Arial"/>
                <w:b/>
                <w:bCs/>
                <w:sz w:val="24"/>
                <w:szCs w:val="24"/>
                <w:lang w:val="es-PA"/>
              </w:rPr>
              <w:t xml:space="preserve">, </w:t>
            </w:r>
            <w:r>
              <w:rPr>
                <w:rFonts w:ascii="Arial" w:hAnsi="Arial" w:cs="Arial"/>
                <w:sz w:val="24"/>
                <w:szCs w:val="24"/>
                <w:lang w:val="es-PA"/>
              </w:rPr>
              <w:t xml:space="preserve">más de </w:t>
            </w:r>
            <w:r>
              <w:rPr>
                <w:rFonts w:ascii="Arial" w:hAnsi="Arial" w:cs="Arial"/>
                <w:b/>
                <w:bCs/>
                <w:sz w:val="24"/>
                <w:szCs w:val="24"/>
                <w:lang w:val="es-PA"/>
              </w:rPr>
              <w:t>29 mil</w:t>
            </w:r>
            <w:r>
              <w:rPr>
                <w:rFonts w:ascii="Arial" w:hAnsi="Arial" w:cs="Arial"/>
                <w:sz w:val="24"/>
                <w:szCs w:val="24"/>
                <w:lang w:val="es-PA"/>
              </w:rPr>
              <w:t xml:space="preserve"> litros de alcohol,</w:t>
            </w:r>
            <w:r>
              <w:rPr>
                <w:rFonts w:ascii="Arial" w:hAnsi="Arial" w:cs="Arial"/>
                <w:b/>
                <w:bCs/>
                <w:sz w:val="24"/>
                <w:szCs w:val="24"/>
                <w:lang w:val="es-PA"/>
              </w:rPr>
              <w:t xml:space="preserve"> </w:t>
            </w:r>
            <w:r>
              <w:rPr>
                <w:rFonts w:ascii="Arial" w:hAnsi="Arial" w:cs="Arial"/>
                <w:sz w:val="24"/>
                <w:szCs w:val="24"/>
                <w:lang w:val="es-PA"/>
              </w:rPr>
              <w:t xml:space="preserve">más de </w:t>
            </w:r>
            <w:r>
              <w:rPr>
                <w:rFonts w:ascii="Arial" w:hAnsi="Arial" w:cs="Arial"/>
                <w:b/>
                <w:bCs/>
                <w:sz w:val="24"/>
                <w:szCs w:val="24"/>
                <w:lang w:val="es-PA"/>
              </w:rPr>
              <w:t xml:space="preserve">30 mil </w:t>
            </w:r>
            <w:r>
              <w:rPr>
                <w:rFonts w:ascii="Arial" w:hAnsi="Arial" w:cs="Arial"/>
                <w:sz w:val="24"/>
                <w:szCs w:val="24"/>
                <w:lang w:val="es-PA"/>
              </w:rPr>
              <w:t>litros de hipoclorito de sodio</w:t>
            </w:r>
            <w:r>
              <w:rPr>
                <w:rFonts w:ascii="Arial" w:hAnsi="Arial" w:cs="Arial"/>
                <w:b/>
                <w:bCs/>
                <w:sz w:val="24"/>
                <w:szCs w:val="24"/>
                <w:lang w:val="es-PA"/>
              </w:rPr>
              <w:t xml:space="preserve">, 24.150 </w:t>
            </w:r>
            <w:r>
              <w:rPr>
                <w:rFonts w:ascii="Arial" w:hAnsi="Arial" w:cs="Arial"/>
                <w:sz w:val="24"/>
                <w:szCs w:val="24"/>
                <w:lang w:val="es-PA"/>
              </w:rPr>
              <w:t>litros de jabón para manos</w:t>
            </w:r>
            <w:r>
              <w:rPr>
                <w:rFonts w:ascii="Arial" w:hAnsi="Arial" w:cs="Arial"/>
                <w:b/>
                <w:bCs/>
                <w:sz w:val="24"/>
                <w:szCs w:val="24"/>
                <w:lang w:val="es-PA"/>
              </w:rPr>
              <w:t xml:space="preserve">, </w:t>
            </w:r>
            <w:r>
              <w:rPr>
                <w:rFonts w:ascii="Arial" w:hAnsi="Arial" w:cs="Arial"/>
                <w:sz w:val="24"/>
                <w:szCs w:val="24"/>
                <w:lang w:val="es-PA"/>
              </w:rPr>
              <w:t>entre otros insumos.</w:t>
            </w:r>
          </w:p>
          <w:p w:rsidR="00000000" w:rsidRDefault="00EE4BAE">
            <w:pPr>
              <w:jc w:val="center"/>
              <w:rPr>
                <w:rFonts w:ascii="Arial" w:hAnsi="Arial" w:cs="Arial"/>
                <w:sz w:val="24"/>
                <w:szCs w:val="24"/>
                <w:lang w:val="es-PA"/>
              </w:rPr>
            </w:pPr>
            <w:r>
              <w:rPr>
                <w:noProof/>
              </w:rPr>
              <w:drawing>
                <wp:inline distT="0" distB="0" distL="0" distR="0">
                  <wp:extent cx="5836285" cy="4373245"/>
                  <wp:effectExtent l="0" t="0" r="0" b="8255"/>
                  <wp:docPr id="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6285" cy="4373245"/>
                          </a:xfrm>
                          <a:prstGeom prst="rect">
                            <a:avLst/>
                          </a:prstGeom>
                          <a:noFill/>
                          <a:ln>
                            <a:noFill/>
                          </a:ln>
                        </pic:spPr>
                      </pic:pic>
                    </a:graphicData>
                  </a:graphic>
                </wp:inline>
              </w:drawing>
            </w:r>
          </w:p>
          <w:p w:rsidR="00000000" w:rsidRDefault="00EE4BAE">
            <w:pPr>
              <w:rPr>
                <w:rFonts w:ascii="Arial" w:hAnsi="Arial" w:cs="Arial"/>
                <w:sz w:val="24"/>
                <w:szCs w:val="24"/>
              </w:rPr>
            </w:pPr>
            <w:r>
              <w:rPr>
                <w:rFonts w:ascii="Arial" w:hAnsi="Arial" w:cs="Arial"/>
                <w:sz w:val="24"/>
                <w:szCs w:val="24"/>
                <w:lang w:val="es-PA"/>
              </w:rPr>
              <w:t>Además, se apoyó a las instituciones como el Ministerio de Salud, Ministerio de Justicia y Gracia, entre otros, con la contrat</w:t>
            </w:r>
            <w:r>
              <w:rPr>
                <w:rFonts w:ascii="Arial" w:hAnsi="Arial" w:cs="Arial"/>
                <w:sz w:val="24"/>
                <w:szCs w:val="24"/>
                <w:lang w:val="es-PA"/>
              </w:rPr>
              <w:t>ación de personal especializado para la atención de la pandemia.</w:t>
            </w:r>
          </w:p>
          <w:p w:rsidR="00000000" w:rsidRDefault="00EE4BAE">
            <w:pPr>
              <w:rPr>
                <w:rFonts w:ascii="Arial" w:hAnsi="Arial" w:cs="Arial"/>
                <w:sz w:val="24"/>
                <w:szCs w:val="24"/>
              </w:rPr>
            </w:pPr>
            <w:r>
              <w:rPr>
                <w:rFonts w:ascii="Arial" w:hAnsi="Arial" w:cs="Arial"/>
                <w:sz w:val="24"/>
                <w:szCs w:val="24"/>
              </w:rPr>
              <w:t xml:space="preserve">Asimismo, con el fin de brindar soporte a personas positivas sin redes de apoyo, la CNE habilitó </w:t>
            </w:r>
            <w:r>
              <w:rPr>
                <w:rFonts w:ascii="Arial" w:hAnsi="Arial" w:cs="Arial"/>
                <w:b/>
                <w:bCs/>
                <w:sz w:val="24"/>
                <w:szCs w:val="24"/>
              </w:rPr>
              <w:t>15 albergues</w:t>
            </w:r>
            <w:r>
              <w:rPr>
                <w:rFonts w:ascii="Arial" w:hAnsi="Arial" w:cs="Arial"/>
                <w:sz w:val="24"/>
                <w:szCs w:val="24"/>
              </w:rPr>
              <w:t xml:space="preserve"> en los que se ingresaron </w:t>
            </w:r>
            <w:r>
              <w:rPr>
                <w:rFonts w:ascii="Arial" w:hAnsi="Arial" w:cs="Arial"/>
                <w:b/>
                <w:bCs/>
                <w:sz w:val="24"/>
                <w:szCs w:val="24"/>
              </w:rPr>
              <w:t>377 personas</w:t>
            </w:r>
            <w:r>
              <w:rPr>
                <w:rFonts w:ascii="Arial" w:hAnsi="Arial" w:cs="Arial"/>
                <w:sz w:val="24"/>
                <w:szCs w:val="24"/>
              </w:rPr>
              <w:t>. De igual forma fue les dio apertura a cuat</w:t>
            </w:r>
            <w:r>
              <w:rPr>
                <w:rFonts w:ascii="Arial" w:hAnsi="Arial" w:cs="Arial"/>
                <w:sz w:val="24"/>
                <w:szCs w:val="24"/>
              </w:rPr>
              <w:t>ro centros para personas en situación de calle en el cantón central de San José debido a que en las calles el riesgo de contagio era inminente.</w:t>
            </w:r>
          </w:p>
          <w:p w:rsidR="00000000" w:rsidRDefault="00EE4BAE">
            <w:pPr>
              <w:rPr>
                <w:rFonts w:ascii="Arial" w:hAnsi="Arial" w:cs="Arial"/>
                <w:sz w:val="24"/>
                <w:szCs w:val="24"/>
              </w:rPr>
            </w:pPr>
            <w:r>
              <w:rPr>
                <w:rFonts w:ascii="Arial" w:hAnsi="Arial" w:cs="Arial"/>
                <w:sz w:val="24"/>
                <w:szCs w:val="24"/>
              </w:rPr>
              <w:t>Para la atención del COVID-19, se invirtieron más de 38 mil millones colones. Esto incluye la compra de alimento</w:t>
            </w:r>
            <w:r>
              <w:rPr>
                <w:rFonts w:ascii="Arial" w:hAnsi="Arial" w:cs="Arial"/>
                <w:sz w:val="24"/>
                <w:szCs w:val="24"/>
              </w:rPr>
              <w:t xml:space="preserve">s, equipos de protección y aseo, tanques para agua, créditos para insumos alimenticios, contratación de personal, entre otros. </w:t>
            </w:r>
          </w:p>
          <w:p w:rsidR="00000000" w:rsidRDefault="00EE4BAE">
            <w:pPr>
              <w:jc w:val="both"/>
              <w:rPr>
                <w:rFonts w:ascii="Arial" w:hAnsi="Arial" w:cs="Arial"/>
                <w:sz w:val="24"/>
                <w:szCs w:val="24"/>
              </w:rPr>
            </w:pPr>
            <w:r>
              <w:rPr>
                <w:rFonts w:ascii="Arial" w:hAnsi="Arial" w:cs="Arial"/>
                <w:sz w:val="24"/>
                <w:szCs w:val="24"/>
              </w:rPr>
              <w:t>Otra de los compromisos prioritarios asumidos por la CNE durante la Pandemia, fue el proceso de contratación de las vacunas e in</w:t>
            </w:r>
            <w:r>
              <w:rPr>
                <w:rFonts w:ascii="Arial" w:hAnsi="Arial" w:cs="Arial"/>
                <w:sz w:val="24"/>
                <w:szCs w:val="24"/>
              </w:rPr>
              <w:t>sumos complementarios como las jeringas, aguas, congeladores, algodones, bolsas rojas y negras, entre otros.</w:t>
            </w:r>
          </w:p>
          <w:p w:rsidR="00000000" w:rsidRDefault="00EE4BAE">
            <w:pPr>
              <w:jc w:val="center"/>
              <w:rPr>
                <w:rFonts w:ascii="Arial" w:hAnsi="Arial" w:cs="Arial"/>
                <w:sz w:val="24"/>
                <w:szCs w:val="24"/>
              </w:rPr>
            </w:pPr>
            <w:r>
              <w:rPr>
                <w:rFonts w:ascii="Arial" w:hAnsi="Arial" w:cs="Arial"/>
                <w:noProof/>
                <w:sz w:val="24"/>
                <w:szCs w:val="24"/>
              </w:rPr>
              <w:drawing>
                <wp:inline distT="0" distB="0" distL="0" distR="0">
                  <wp:extent cx="5828030" cy="3275965"/>
                  <wp:effectExtent l="0" t="0" r="1270" b="635"/>
                  <wp:docPr id="5" name="Imagen 5" descr="Texto, Pizar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Texto, Pizarr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8030" cy="3275965"/>
                          </a:xfrm>
                          <a:prstGeom prst="rect">
                            <a:avLst/>
                          </a:prstGeom>
                          <a:noFill/>
                          <a:ln>
                            <a:noFill/>
                          </a:ln>
                        </pic:spPr>
                      </pic:pic>
                    </a:graphicData>
                  </a:graphic>
                </wp:inline>
              </w:drawing>
            </w:r>
          </w:p>
          <w:p w:rsidR="00000000" w:rsidRDefault="00EE4BAE">
            <w:pPr>
              <w:rPr>
                <w:rFonts w:ascii="Arial" w:hAnsi="Arial" w:cs="Arial"/>
                <w:b/>
                <w:bCs/>
                <w:sz w:val="24"/>
                <w:szCs w:val="24"/>
              </w:rPr>
            </w:pPr>
            <w:r>
              <w:rPr>
                <w:rFonts w:ascii="Arial" w:hAnsi="Arial" w:cs="Arial"/>
                <w:b/>
                <w:bCs/>
                <w:sz w:val="24"/>
                <w:szCs w:val="24"/>
              </w:rPr>
              <w:t>Transparencia</w:t>
            </w:r>
          </w:p>
          <w:p w:rsidR="00000000" w:rsidRDefault="00EE4BAE">
            <w:pPr>
              <w:rPr>
                <w:rFonts w:ascii="Arial" w:hAnsi="Arial" w:cs="Arial"/>
                <w:sz w:val="24"/>
                <w:szCs w:val="24"/>
              </w:rPr>
            </w:pPr>
            <w:r>
              <w:rPr>
                <w:rFonts w:ascii="Arial" w:hAnsi="Arial" w:cs="Arial"/>
                <w:sz w:val="24"/>
                <w:szCs w:val="24"/>
              </w:rPr>
              <w:t>En aras de la transparencia, toda la información sobre los procesos de compra y el quehacer de la CNE en la pandemia se crea dispon</w:t>
            </w:r>
            <w:r>
              <w:rPr>
                <w:rFonts w:ascii="Arial" w:hAnsi="Arial" w:cs="Arial"/>
                <w:sz w:val="24"/>
                <w:szCs w:val="24"/>
              </w:rPr>
              <w:t xml:space="preserve">ible para el público en general en la página web institucional y en la plataforma de Sistema Integrado de Compras Públicas. </w:t>
            </w:r>
          </w:p>
          <w:p w:rsidR="00000000" w:rsidRDefault="00EE4BAE">
            <w:pPr>
              <w:rPr>
                <w:rFonts w:ascii="Arial" w:hAnsi="Arial" w:cs="Arial"/>
                <w:b/>
                <w:bCs/>
                <w:sz w:val="24"/>
                <w:szCs w:val="24"/>
              </w:rPr>
            </w:pPr>
            <w:r>
              <w:rPr>
                <w:rFonts w:ascii="Arial" w:hAnsi="Arial" w:cs="Arial"/>
                <w:b/>
                <w:bCs/>
                <w:sz w:val="24"/>
                <w:szCs w:val="24"/>
              </w:rPr>
              <w:t xml:space="preserve">Alertas un aliado para la contención </w:t>
            </w:r>
          </w:p>
          <w:p w:rsidR="00000000" w:rsidRDefault="00EE4BAE">
            <w:pPr>
              <w:rPr>
                <w:rFonts w:ascii="Arial" w:hAnsi="Arial" w:cs="Arial"/>
                <w:sz w:val="24"/>
                <w:szCs w:val="24"/>
              </w:rPr>
            </w:pPr>
            <w:r>
              <w:rPr>
                <w:rFonts w:ascii="Arial" w:hAnsi="Arial" w:cs="Arial"/>
                <w:sz w:val="24"/>
                <w:szCs w:val="24"/>
              </w:rPr>
              <w:t>Desde el pasado 04 de junio del 2020 la Alerta Naranja formó parte del grupo de alertas que s</w:t>
            </w:r>
            <w:r>
              <w:rPr>
                <w:rFonts w:ascii="Arial" w:hAnsi="Arial" w:cs="Arial"/>
                <w:sz w:val="24"/>
                <w:szCs w:val="24"/>
              </w:rPr>
              <w:t>e establecen en Costa Rica</w:t>
            </w:r>
          </w:p>
          <w:p w:rsidR="00000000" w:rsidRDefault="00EE4BAE">
            <w:pPr>
              <w:rPr>
                <w:rFonts w:ascii="Arial" w:hAnsi="Arial" w:cs="Arial"/>
                <w:sz w:val="24"/>
                <w:szCs w:val="24"/>
              </w:rPr>
            </w:pPr>
            <w:r>
              <w:rPr>
                <w:rFonts w:ascii="Arial" w:hAnsi="Arial" w:cs="Arial"/>
                <w:sz w:val="24"/>
                <w:szCs w:val="24"/>
              </w:rPr>
              <w:t xml:space="preserve">Con la situación del COVID-19, la declaratoria de Alertas varió de acuerdo con los parámetros que conlleva una emergencia epidemiológica. </w:t>
            </w:r>
          </w:p>
          <w:p w:rsidR="00000000" w:rsidRDefault="00EE4BAE">
            <w:pPr>
              <w:rPr>
                <w:rFonts w:ascii="Arial" w:hAnsi="Arial" w:cs="Arial"/>
                <w:sz w:val="24"/>
                <w:szCs w:val="24"/>
              </w:rPr>
            </w:pPr>
            <w:r>
              <w:rPr>
                <w:rFonts w:ascii="Arial" w:hAnsi="Arial" w:cs="Arial"/>
                <w:sz w:val="24"/>
                <w:szCs w:val="24"/>
              </w:rPr>
              <w:t>Siendo así que los criterios utilizados para el incremento en las alertas se realizan por:</w:t>
            </w:r>
          </w:p>
          <w:p w:rsidR="00000000" w:rsidRDefault="00EE4BAE">
            <w:pPr>
              <w:pStyle w:val="Prrafodelista"/>
              <w:numPr>
                <w:ilvl w:val="0"/>
                <w:numId w:val="7"/>
              </w:numPr>
              <w:rPr>
                <w:rFonts w:ascii="Arial" w:hAnsi="Arial" w:cs="Arial"/>
                <w:sz w:val="24"/>
                <w:szCs w:val="24"/>
              </w:rPr>
            </w:pPr>
            <w:r>
              <w:rPr>
                <w:rFonts w:ascii="Arial" w:hAnsi="Arial" w:cs="Arial"/>
                <w:sz w:val="24"/>
                <w:szCs w:val="24"/>
              </w:rPr>
              <w:t>El aumento en la cantidad de casos activos por cantidad de habitantes de cada cantón.</w:t>
            </w:r>
          </w:p>
          <w:p w:rsidR="00000000" w:rsidRDefault="00EE4BAE">
            <w:pPr>
              <w:pStyle w:val="Prrafodelista"/>
              <w:numPr>
                <w:ilvl w:val="0"/>
                <w:numId w:val="7"/>
              </w:numPr>
              <w:rPr>
                <w:rFonts w:ascii="Arial" w:hAnsi="Arial" w:cs="Arial"/>
                <w:sz w:val="24"/>
                <w:szCs w:val="24"/>
              </w:rPr>
            </w:pPr>
            <w:r>
              <w:rPr>
                <w:rFonts w:ascii="Arial" w:hAnsi="Arial" w:cs="Arial"/>
                <w:sz w:val="24"/>
                <w:szCs w:val="24"/>
              </w:rPr>
              <w:t>Los incrementos constantes y abruptos en cantidad de casos.</w:t>
            </w:r>
          </w:p>
          <w:p w:rsidR="00000000" w:rsidRDefault="00EE4BAE">
            <w:pPr>
              <w:pStyle w:val="Prrafodelista"/>
              <w:numPr>
                <w:ilvl w:val="0"/>
                <w:numId w:val="7"/>
              </w:numPr>
              <w:rPr>
                <w:rFonts w:ascii="Arial" w:hAnsi="Arial" w:cs="Arial"/>
                <w:sz w:val="24"/>
                <w:szCs w:val="24"/>
              </w:rPr>
            </w:pPr>
            <w:r>
              <w:rPr>
                <w:rFonts w:ascii="Arial" w:hAnsi="Arial" w:cs="Arial"/>
                <w:sz w:val="24"/>
                <w:szCs w:val="24"/>
              </w:rPr>
              <w:t>La cantidad de casos positivos en los que no se ha logrado determinar nexo.</w:t>
            </w:r>
          </w:p>
          <w:p w:rsidR="00000000" w:rsidRDefault="00EE4BAE">
            <w:pPr>
              <w:pStyle w:val="Prrafodelista"/>
              <w:numPr>
                <w:ilvl w:val="0"/>
                <w:numId w:val="7"/>
              </w:numPr>
              <w:rPr>
                <w:rFonts w:ascii="Arial" w:hAnsi="Arial" w:cs="Arial"/>
                <w:sz w:val="24"/>
                <w:szCs w:val="24"/>
              </w:rPr>
            </w:pPr>
            <w:r>
              <w:rPr>
                <w:rFonts w:ascii="Arial" w:hAnsi="Arial" w:cs="Arial"/>
                <w:sz w:val="24"/>
                <w:szCs w:val="24"/>
              </w:rPr>
              <w:t xml:space="preserve">El incremento en la ocupación de </w:t>
            </w:r>
            <w:r>
              <w:rPr>
                <w:rFonts w:ascii="Arial" w:hAnsi="Arial" w:cs="Arial"/>
                <w:sz w:val="24"/>
                <w:szCs w:val="24"/>
              </w:rPr>
              <w:t>camas de hospital que están en condiciones de atender pacientes con COVID 19.</w:t>
            </w:r>
          </w:p>
          <w:p w:rsidR="00000000" w:rsidRDefault="00EE4BAE">
            <w:pPr>
              <w:jc w:val="center"/>
              <w:rPr>
                <w:rFonts w:ascii="Arial" w:hAnsi="Arial" w:cs="Arial"/>
                <w:sz w:val="24"/>
                <w:szCs w:val="24"/>
              </w:rPr>
            </w:pPr>
            <w:r>
              <w:rPr>
                <w:rFonts w:ascii="Arial" w:hAnsi="Arial" w:cs="Arial"/>
                <w:noProof/>
                <w:sz w:val="24"/>
                <w:szCs w:val="24"/>
              </w:rPr>
              <w:drawing>
                <wp:inline distT="0" distB="0" distL="0" distR="0">
                  <wp:extent cx="5613400" cy="4333240"/>
                  <wp:effectExtent l="0" t="0" r="6350" b="0"/>
                  <wp:docPr id="6" name="Imagen 9"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Map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400" cy="4333240"/>
                          </a:xfrm>
                          <a:prstGeom prst="rect">
                            <a:avLst/>
                          </a:prstGeom>
                          <a:noFill/>
                          <a:ln>
                            <a:noFill/>
                          </a:ln>
                        </pic:spPr>
                      </pic:pic>
                    </a:graphicData>
                  </a:graphic>
                </wp:inline>
              </w:drawing>
            </w:r>
          </w:p>
          <w:p w:rsidR="00000000" w:rsidRDefault="00EE4BAE">
            <w:pPr>
              <w:rPr>
                <w:rFonts w:ascii="Arial" w:hAnsi="Arial" w:cs="Arial"/>
                <w:sz w:val="24"/>
                <w:szCs w:val="24"/>
              </w:rPr>
            </w:pPr>
            <w:r>
              <w:rPr>
                <w:rFonts w:ascii="Arial" w:hAnsi="Arial" w:cs="Arial"/>
                <w:sz w:val="24"/>
                <w:szCs w:val="24"/>
              </w:rPr>
              <w:t xml:space="preserve">Por medio de estas Alertas se tuvo un control poblacional como medida de contención </w:t>
            </w:r>
            <w:r>
              <w:rPr>
                <w:rFonts w:ascii="Arial" w:hAnsi="Arial" w:cs="Arial"/>
                <w:sz w:val="24"/>
                <w:szCs w:val="24"/>
              </w:rPr>
              <w:t xml:space="preserve">del virus con el fin de evitar aglomeraciones, el acatamiento de medidas sanitarias en comercios, medidas de cierre o restricción de aforos en comercios, bares, cierre de parques y actividades de concentración masiva.   </w:t>
            </w:r>
          </w:p>
          <w:p w:rsidR="00000000" w:rsidRDefault="00EE4BAE">
            <w:pPr>
              <w:rPr>
                <w:rFonts w:ascii="Arial" w:hAnsi="Arial" w:cs="Arial"/>
                <w:sz w:val="24"/>
                <w:szCs w:val="24"/>
              </w:rPr>
            </w:pPr>
            <w:r>
              <w:rPr>
                <w:rFonts w:ascii="Arial" w:hAnsi="Arial" w:cs="Arial"/>
                <w:sz w:val="24"/>
                <w:szCs w:val="24"/>
              </w:rPr>
              <w:t xml:space="preserve">Hasta el momento se han presentado </w:t>
            </w:r>
            <w:r>
              <w:rPr>
                <w:rFonts w:ascii="Arial" w:hAnsi="Arial" w:cs="Arial"/>
                <w:b/>
                <w:bCs/>
                <w:sz w:val="24"/>
                <w:szCs w:val="24"/>
              </w:rPr>
              <w:t xml:space="preserve">35 </w:t>
            </w:r>
            <w:r>
              <w:rPr>
                <w:rFonts w:ascii="Arial" w:hAnsi="Arial" w:cs="Arial"/>
                <w:sz w:val="24"/>
                <w:szCs w:val="24"/>
              </w:rPr>
              <w:t>cambio de Alertas por coronavirus.</w:t>
            </w:r>
          </w:p>
          <w:p w:rsidR="00000000" w:rsidRDefault="00EE4BAE">
            <w:pPr>
              <w:rPr>
                <w:rFonts w:ascii="Arial" w:hAnsi="Arial" w:cs="Arial"/>
                <w:sz w:val="24"/>
                <w:szCs w:val="24"/>
              </w:rPr>
            </w:pPr>
            <w:r>
              <w:rPr>
                <w:rFonts w:ascii="Arial" w:hAnsi="Arial" w:cs="Arial"/>
                <w:sz w:val="24"/>
                <w:szCs w:val="24"/>
              </w:rPr>
              <w:t>Estas alertas orientaron a la población a fortalecer los hábitos de cuido, ya que los cantones que mantuvieron una condición de Alerta Amarilla tenían una apertura controlada en movilización de vehículos y apertura com</w:t>
            </w:r>
            <w:r>
              <w:rPr>
                <w:rFonts w:ascii="Arial" w:hAnsi="Arial" w:cs="Arial"/>
                <w:sz w:val="24"/>
                <w:szCs w:val="24"/>
              </w:rPr>
              <w:t>ercial.</w:t>
            </w:r>
          </w:p>
          <w:p w:rsidR="00000000" w:rsidRDefault="00EE4BAE">
            <w:pPr>
              <w:rPr>
                <w:rFonts w:ascii="Arial" w:hAnsi="Arial" w:cs="Arial"/>
                <w:b/>
                <w:bCs/>
                <w:sz w:val="24"/>
                <w:szCs w:val="24"/>
              </w:rPr>
            </w:pPr>
            <w:r>
              <w:rPr>
                <w:rFonts w:ascii="Arial" w:hAnsi="Arial" w:cs="Arial"/>
                <w:b/>
                <w:bCs/>
                <w:sz w:val="24"/>
                <w:szCs w:val="24"/>
              </w:rPr>
              <w:t>Modelo de Gestión Compartida</w:t>
            </w:r>
          </w:p>
          <w:p w:rsidR="00000000" w:rsidRDefault="00EE4BAE">
            <w:pPr>
              <w:rPr>
                <w:rFonts w:ascii="Arial" w:hAnsi="Arial" w:cs="Arial"/>
                <w:sz w:val="24"/>
                <w:szCs w:val="24"/>
              </w:rPr>
            </w:pPr>
            <w:r>
              <w:rPr>
                <w:rFonts w:ascii="Arial" w:hAnsi="Arial" w:cs="Arial"/>
                <w:sz w:val="24"/>
                <w:szCs w:val="24"/>
              </w:rPr>
              <w:t>Este importante trabajo vino a fortalecerse con la implementación en setiembre del 2020 del Modelo de Gestión Compartida “</w:t>
            </w:r>
            <w:r>
              <w:rPr>
                <w:rFonts w:ascii="Arial" w:hAnsi="Arial" w:cs="Arial"/>
                <w:b/>
                <w:bCs/>
                <w:sz w:val="24"/>
                <w:szCs w:val="24"/>
              </w:rPr>
              <w:t>Costa Rica trabaja y se cuida</w:t>
            </w:r>
            <w:r>
              <w:rPr>
                <w:rFonts w:ascii="Arial" w:hAnsi="Arial" w:cs="Arial"/>
                <w:sz w:val="24"/>
                <w:szCs w:val="24"/>
              </w:rPr>
              <w:t>” mediante el cual los gobiernos locales, Comités Municipales de Eme</w:t>
            </w:r>
            <w:r>
              <w:rPr>
                <w:rFonts w:ascii="Arial" w:hAnsi="Arial" w:cs="Arial"/>
                <w:sz w:val="24"/>
                <w:szCs w:val="24"/>
              </w:rPr>
              <w:t>rgencia y la ciudadanía tomaron un papel más protagónico en sus territorios.</w:t>
            </w:r>
          </w:p>
          <w:p w:rsidR="00000000" w:rsidRDefault="00EE4BAE">
            <w:pPr>
              <w:rPr>
                <w:rFonts w:ascii="Arial" w:hAnsi="Arial" w:cs="Arial"/>
                <w:sz w:val="24"/>
                <w:szCs w:val="24"/>
              </w:rPr>
            </w:pPr>
            <w:r>
              <w:rPr>
                <w:rFonts w:ascii="Arial" w:hAnsi="Arial" w:cs="Arial"/>
                <w:sz w:val="24"/>
                <w:szCs w:val="24"/>
              </w:rPr>
              <w:t>Este modelo vino a fortalecer las acciones del gobierno central y el trabajo municipal con un empoderamiento de las fuerzas vivas comunitarias, reconociendo que el país requería s</w:t>
            </w:r>
            <w:r>
              <w:rPr>
                <w:rFonts w:ascii="Arial" w:hAnsi="Arial" w:cs="Arial"/>
                <w:sz w:val="24"/>
                <w:szCs w:val="24"/>
              </w:rPr>
              <w:t>u reactivación económica bajo un modelo de autocuidado y responsabilidad colectiva en cada territorio.</w:t>
            </w:r>
            <w:r>
              <w:rPr>
                <w:rFonts w:ascii="Arial" w:hAnsi="Arial" w:cs="Arial"/>
                <w:noProof/>
                <w:sz w:val="24"/>
                <w:szCs w:val="24"/>
              </w:rPr>
              <w:t xml:space="preserve"> </w:t>
            </w:r>
          </w:p>
          <w:p w:rsidR="00000000" w:rsidRDefault="00EE4BAE">
            <w:pPr>
              <w:jc w:val="center"/>
              <w:rPr>
                <w:rFonts w:ascii="Arial" w:hAnsi="Arial" w:cs="Arial"/>
                <w:sz w:val="24"/>
                <w:szCs w:val="24"/>
              </w:rPr>
            </w:pPr>
            <w:r>
              <w:rPr>
                <w:rFonts w:ascii="Arial" w:hAnsi="Arial" w:cs="Arial"/>
                <w:noProof/>
                <w:sz w:val="24"/>
                <w:szCs w:val="24"/>
              </w:rPr>
              <w:drawing>
                <wp:inline distT="0" distB="0" distL="0" distR="0">
                  <wp:extent cx="5613400" cy="3140710"/>
                  <wp:effectExtent l="0" t="0" r="6350" b="2540"/>
                  <wp:docPr id="7" name="Imagen 10" descr="Un grupo de personas con instrumentos musical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Un grupo de personas con instrumentos musicales&#10;&#10;Descripción generada automáticamente con confianza baj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400" cy="3140710"/>
                          </a:xfrm>
                          <a:prstGeom prst="rect">
                            <a:avLst/>
                          </a:prstGeom>
                          <a:noFill/>
                          <a:ln>
                            <a:noFill/>
                          </a:ln>
                        </pic:spPr>
                      </pic:pic>
                    </a:graphicData>
                  </a:graphic>
                </wp:inline>
              </w:drawing>
            </w:r>
          </w:p>
          <w:p w:rsidR="00000000" w:rsidRDefault="00EE4BAE">
            <w:pPr>
              <w:rPr>
                <w:rFonts w:ascii="Arial" w:hAnsi="Arial" w:cs="Arial"/>
                <w:noProof/>
                <w:sz w:val="24"/>
                <w:szCs w:val="24"/>
              </w:rPr>
            </w:pPr>
            <w:r>
              <w:rPr>
                <w:rFonts w:ascii="Arial" w:hAnsi="Arial" w:cs="Arial"/>
                <w:sz w:val="24"/>
                <w:szCs w:val="24"/>
              </w:rPr>
              <w:t>Para esto, l</w:t>
            </w:r>
            <w:r>
              <w:rPr>
                <w:rFonts w:ascii="Arial" w:hAnsi="Arial" w:cs="Arial"/>
                <w:bCs/>
                <w:iCs/>
                <w:sz w:val="24"/>
                <w:szCs w:val="24"/>
              </w:rPr>
              <w:t xml:space="preserve">a CNE, el Ministerio de Salud y la Caja Costarricense del Seguro Social, establecieron mediante una autoevaluación, la ejecución del Plan </w:t>
            </w:r>
            <w:r>
              <w:rPr>
                <w:rFonts w:ascii="Arial" w:hAnsi="Arial" w:cs="Arial"/>
                <w:bCs/>
                <w:iCs/>
                <w:sz w:val="24"/>
                <w:szCs w:val="24"/>
              </w:rPr>
              <w:t>Cantonal de Prevención por COVID-19. El objetivo de este Plan fue homologar las acciones que los gobiernos locales, junto a los CME, desarrollaron bajo un mismo lineamiento como estrategia para el manejo y contención del virus, generando una apertura contr</w:t>
            </w:r>
            <w:r>
              <w:rPr>
                <w:rFonts w:ascii="Arial" w:hAnsi="Arial" w:cs="Arial"/>
                <w:bCs/>
                <w:iCs/>
                <w:sz w:val="24"/>
                <w:szCs w:val="24"/>
              </w:rPr>
              <w:t>olada de servicios y actividades en cada cantón.</w:t>
            </w:r>
          </w:p>
          <w:p w:rsidR="00000000" w:rsidRDefault="00EE4BAE">
            <w:pPr>
              <w:rPr>
                <w:rFonts w:ascii="Arial" w:hAnsi="Arial" w:cs="Arial"/>
                <w:sz w:val="24"/>
                <w:szCs w:val="24"/>
              </w:rPr>
            </w:pPr>
            <w:r>
              <w:rPr>
                <w:rFonts w:ascii="Arial" w:hAnsi="Arial" w:cs="Arial"/>
                <w:sz w:val="24"/>
                <w:szCs w:val="24"/>
              </w:rPr>
              <w:t xml:space="preserve">La autoevaluación, está fundamentada en cinco aspectos generales, tales como la organización del CME, las estrategias de comunicación, las acciones de coordinación cantonales, las actividades de prevención, </w:t>
            </w:r>
            <w:r>
              <w:rPr>
                <w:rFonts w:ascii="Arial" w:hAnsi="Arial" w:cs="Arial"/>
                <w:sz w:val="24"/>
                <w:szCs w:val="24"/>
              </w:rPr>
              <w:t>verificación y control, y la contención y atención de la emergencia por COVID-19. A partir de ellos, se revisan los avances y retos según el porcentaje de cumplimiento del Plan, para disminuir la tasa de contagio.</w:t>
            </w:r>
          </w:p>
          <w:p w:rsidR="00000000" w:rsidRDefault="00EE4BAE">
            <w:pPr>
              <w:rPr>
                <w:rFonts w:ascii="Arial" w:hAnsi="Arial" w:cs="Arial"/>
                <w:sz w:val="24"/>
                <w:szCs w:val="24"/>
              </w:rPr>
            </w:pPr>
            <w:r>
              <w:rPr>
                <w:rFonts w:ascii="Arial" w:hAnsi="Arial" w:cs="Arial"/>
                <w:sz w:val="24"/>
                <w:szCs w:val="24"/>
              </w:rPr>
              <w:t xml:space="preserve">Un año después, este trabajo ha permitido </w:t>
            </w:r>
            <w:r>
              <w:rPr>
                <w:rFonts w:ascii="Arial" w:hAnsi="Arial" w:cs="Arial"/>
                <w:sz w:val="24"/>
                <w:szCs w:val="24"/>
              </w:rPr>
              <w:t>que hay una apertura controlada, que se ampliara el horario de la restricción vehicular y con ello la reactivación económica del país debido a que los contagios han disminuido de paulatinamente.</w:t>
            </w:r>
          </w:p>
          <w:p w:rsidR="00000000" w:rsidRDefault="00EE4BAE">
            <w:pPr>
              <w:jc w:val="both"/>
              <w:rPr>
                <w:rFonts w:ascii="Arial" w:hAnsi="Arial" w:cs="Arial"/>
                <w:b/>
                <w:bCs/>
                <w:sz w:val="24"/>
                <w:szCs w:val="24"/>
              </w:rPr>
            </w:pPr>
            <w:r>
              <w:rPr>
                <w:rFonts w:ascii="Arial" w:hAnsi="Arial" w:cs="Arial"/>
                <w:b/>
                <w:bCs/>
                <w:sz w:val="24"/>
                <w:szCs w:val="24"/>
              </w:rPr>
              <w:t>Mesas operativas temáticas</w:t>
            </w:r>
          </w:p>
          <w:p w:rsidR="00000000" w:rsidRDefault="00EE4BAE">
            <w:pPr>
              <w:jc w:val="center"/>
              <w:rPr>
                <w:rFonts w:ascii="Arial" w:hAnsi="Arial" w:cs="Arial"/>
                <w:iCs/>
                <w:sz w:val="24"/>
                <w:szCs w:val="24"/>
              </w:rPr>
            </w:pPr>
            <w:r>
              <w:rPr>
                <w:rFonts w:ascii="Arial" w:hAnsi="Arial" w:cs="Arial"/>
                <w:b/>
                <w:noProof/>
                <w:sz w:val="24"/>
                <w:szCs w:val="24"/>
              </w:rPr>
              <w:drawing>
                <wp:inline distT="0" distB="0" distL="0" distR="0">
                  <wp:extent cx="5613400" cy="3140710"/>
                  <wp:effectExtent l="0" t="0" r="6350" b="2540"/>
                  <wp:docPr id="8" name="Imagen 1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Imagen que contiene Diagram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00" cy="3140710"/>
                          </a:xfrm>
                          <a:prstGeom prst="rect">
                            <a:avLst/>
                          </a:prstGeom>
                          <a:noFill/>
                          <a:ln>
                            <a:noFill/>
                          </a:ln>
                        </pic:spPr>
                      </pic:pic>
                    </a:graphicData>
                  </a:graphic>
                </wp:inline>
              </w:drawing>
            </w:r>
          </w:p>
        </w:tc>
        <w:tc>
          <w:tcPr>
            <w:tcW w:w="269" w:type="dxa"/>
            <w:tcBorders>
              <w:top w:val="single" w:sz="4" w:space="0" w:color="auto"/>
              <w:left w:val="single" w:sz="4" w:space="0" w:color="auto"/>
              <w:bottom w:val="single" w:sz="4" w:space="0" w:color="auto"/>
              <w:right w:val="single" w:sz="4" w:space="0" w:color="auto"/>
            </w:tcBorders>
          </w:tcPr>
          <w:p w:rsidR="00000000" w:rsidRDefault="00EE4BAE">
            <w:pPr>
              <w:spacing w:after="0" w:line="240" w:lineRule="auto"/>
              <w:rPr>
                <w:rFonts w:ascii="Arial" w:hAnsi="Arial" w:cs="Arial"/>
                <w:bCs/>
                <w:color w:val="000000"/>
                <w:sz w:val="24"/>
                <w:szCs w:val="24"/>
                <w:lang w:eastAsia="es-CR"/>
              </w:rPr>
            </w:pPr>
          </w:p>
        </w:tc>
      </w:tr>
      <w:tr w:rsidR="00000000">
        <w:tc>
          <w:tcPr>
            <w:tcW w:w="270" w:type="dxa"/>
            <w:tcBorders>
              <w:top w:val="single" w:sz="4" w:space="0" w:color="auto"/>
              <w:left w:val="single" w:sz="4" w:space="0" w:color="auto"/>
              <w:bottom w:val="single" w:sz="4" w:space="0" w:color="auto"/>
              <w:right w:val="single" w:sz="4" w:space="0" w:color="auto"/>
            </w:tcBorders>
          </w:tcPr>
          <w:p w:rsidR="00000000" w:rsidRDefault="00EE4BAE">
            <w:pPr>
              <w:spacing w:after="0" w:line="240" w:lineRule="auto"/>
              <w:rPr>
                <w:rFonts w:ascii="Arial" w:hAnsi="Arial" w:cs="Arial"/>
                <w:bCs/>
                <w:color w:val="000000"/>
                <w:sz w:val="24"/>
                <w:szCs w:val="24"/>
                <w:lang w:eastAsia="es-CR"/>
              </w:rPr>
            </w:pPr>
          </w:p>
        </w:tc>
        <w:tc>
          <w:tcPr>
            <w:tcW w:w="824" w:type="dxa"/>
            <w:tcBorders>
              <w:top w:val="single" w:sz="4" w:space="0" w:color="auto"/>
              <w:left w:val="single" w:sz="4" w:space="0" w:color="auto"/>
              <w:bottom w:val="single" w:sz="4" w:space="0" w:color="auto"/>
              <w:right w:val="single" w:sz="4" w:space="0" w:color="auto"/>
            </w:tcBorders>
          </w:tcPr>
          <w:p w:rsidR="00000000" w:rsidRDefault="00EE4BAE">
            <w:pPr>
              <w:spacing w:after="0" w:line="240" w:lineRule="auto"/>
              <w:rPr>
                <w:rFonts w:ascii="Arial" w:hAnsi="Arial" w:cs="Arial"/>
                <w:bCs/>
                <w:color w:val="000000"/>
                <w:sz w:val="24"/>
                <w:szCs w:val="24"/>
                <w:lang w:eastAsia="es-CR"/>
              </w:rPr>
            </w:pPr>
          </w:p>
        </w:tc>
        <w:tc>
          <w:tcPr>
            <w:tcW w:w="3251" w:type="dxa"/>
            <w:tcBorders>
              <w:top w:val="single" w:sz="4" w:space="0" w:color="auto"/>
              <w:left w:val="single" w:sz="4" w:space="0" w:color="auto"/>
              <w:bottom w:val="single" w:sz="4" w:space="0" w:color="auto"/>
              <w:right w:val="single" w:sz="4" w:space="0" w:color="auto"/>
            </w:tcBorders>
          </w:tcPr>
          <w:p w:rsidR="00000000" w:rsidRDefault="00EE4BAE">
            <w:pPr>
              <w:spacing w:after="0" w:line="240" w:lineRule="auto"/>
              <w:rPr>
                <w:rFonts w:ascii="Arial" w:hAnsi="Arial" w:cs="Arial"/>
                <w:bCs/>
                <w:color w:val="000000"/>
                <w:sz w:val="24"/>
                <w:szCs w:val="24"/>
                <w:lang w:eastAsia="es-CR"/>
              </w:rPr>
            </w:pPr>
          </w:p>
        </w:tc>
        <w:tc>
          <w:tcPr>
            <w:tcW w:w="3210" w:type="dxa"/>
            <w:tcBorders>
              <w:top w:val="single" w:sz="4" w:space="0" w:color="auto"/>
              <w:left w:val="single" w:sz="4" w:space="0" w:color="auto"/>
              <w:bottom w:val="single" w:sz="4" w:space="0" w:color="auto"/>
              <w:right w:val="single" w:sz="4" w:space="0" w:color="auto"/>
            </w:tcBorders>
          </w:tcPr>
          <w:p w:rsidR="00000000" w:rsidRDefault="00EE4BAE">
            <w:pPr>
              <w:spacing w:after="0" w:line="240" w:lineRule="auto"/>
              <w:rPr>
                <w:rFonts w:ascii="Arial" w:hAnsi="Arial" w:cs="Arial"/>
                <w:bCs/>
                <w:color w:val="000000"/>
                <w:sz w:val="24"/>
                <w:szCs w:val="24"/>
                <w:lang w:eastAsia="es-CR"/>
              </w:rPr>
            </w:pPr>
          </w:p>
        </w:tc>
        <w:tc>
          <w:tcPr>
            <w:tcW w:w="284" w:type="dxa"/>
            <w:tcBorders>
              <w:top w:val="single" w:sz="4" w:space="0" w:color="auto"/>
              <w:left w:val="single" w:sz="4" w:space="0" w:color="auto"/>
              <w:bottom w:val="single" w:sz="4" w:space="0" w:color="auto"/>
              <w:right w:val="single" w:sz="4" w:space="0" w:color="auto"/>
            </w:tcBorders>
          </w:tcPr>
          <w:p w:rsidR="00000000" w:rsidRDefault="00EE4BAE">
            <w:pPr>
              <w:spacing w:after="0" w:line="240" w:lineRule="auto"/>
              <w:rPr>
                <w:rFonts w:ascii="Arial" w:hAnsi="Arial" w:cs="Arial"/>
                <w:bCs/>
                <w:color w:val="000000"/>
                <w:sz w:val="24"/>
                <w:szCs w:val="24"/>
                <w:lang w:eastAsia="es-CR"/>
              </w:rPr>
            </w:pPr>
          </w:p>
        </w:tc>
        <w:tc>
          <w:tcPr>
            <w:tcW w:w="269" w:type="dxa"/>
            <w:tcBorders>
              <w:top w:val="single" w:sz="4" w:space="0" w:color="auto"/>
              <w:left w:val="single" w:sz="4" w:space="0" w:color="auto"/>
              <w:bottom w:val="single" w:sz="4" w:space="0" w:color="auto"/>
              <w:right w:val="single" w:sz="4" w:space="0" w:color="auto"/>
            </w:tcBorders>
          </w:tcPr>
          <w:p w:rsidR="00000000" w:rsidRDefault="00EE4BAE">
            <w:pPr>
              <w:spacing w:after="0" w:line="240" w:lineRule="auto"/>
              <w:rPr>
                <w:rFonts w:ascii="Arial" w:hAnsi="Arial" w:cs="Arial"/>
                <w:bCs/>
                <w:color w:val="000000"/>
                <w:sz w:val="24"/>
                <w:szCs w:val="24"/>
                <w:lang w:eastAsia="es-CR"/>
              </w:rPr>
            </w:pPr>
          </w:p>
        </w:tc>
      </w:tr>
      <w:bookmarkEnd w:id="0"/>
    </w:tbl>
    <w:p w:rsidR="00000000" w:rsidRDefault="00EE4BAE">
      <w:pPr>
        <w:rPr>
          <w:rFonts w:ascii="Arial" w:hAnsi="Arial" w:cs="Arial"/>
          <w:bCs/>
          <w:sz w:val="24"/>
          <w:szCs w:val="24"/>
        </w:rPr>
      </w:pPr>
    </w:p>
    <w:p w:rsidR="00000000" w:rsidRDefault="00EE4BAE">
      <w:pPr>
        <w:rPr>
          <w:rFonts w:ascii="Arial" w:hAnsi="Arial" w:cs="Arial"/>
          <w:bCs/>
          <w:sz w:val="24"/>
          <w:szCs w:val="24"/>
        </w:rPr>
      </w:pPr>
    </w:p>
    <w:p w:rsidR="00000000" w:rsidRDefault="00EE4BAE">
      <w:pPr>
        <w:rPr>
          <w:rFonts w:ascii="Arial" w:hAnsi="Arial" w:cs="Arial"/>
          <w:bCs/>
          <w:sz w:val="24"/>
          <w:szCs w:val="24"/>
        </w:rPr>
      </w:pPr>
    </w:p>
    <w:sectPr w:rsidR="00000000">
      <w:headerReference w:type="default" r:id="rId16"/>
      <w:pgSz w:w="11907" w:h="16839"/>
      <w:pgMar w:top="1134" w:right="1134" w:bottom="1134" w:left="1134" w:header="426" w:footer="4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EE4BAE">
      <w:pPr>
        <w:spacing w:after="0" w:line="240" w:lineRule="auto"/>
      </w:pPr>
      <w:r>
        <w:separator/>
      </w:r>
    </w:p>
  </w:endnote>
  <w:endnote w:type="continuationSeparator" w:id="0">
    <w:p w:rsidR="00000000" w:rsidRDefault="00EE4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EE4BAE">
      <w:pPr>
        <w:spacing w:after="0" w:line="240" w:lineRule="auto"/>
      </w:pPr>
      <w:r>
        <w:separator/>
      </w:r>
    </w:p>
  </w:footnote>
  <w:footnote w:type="continuationSeparator" w:id="0">
    <w:p w:rsidR="00000000" w:rsidRDefault="00EE4B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EE4BAE">
    <w:pPr>
      <w:pStyle w:val="Encabezado"/>
      <w:ind w:left="2124" w:right="618"/>
      <w:jc w:val="right"/>
      <w:rPr>
        <w:rFonts w:ascii="Times New Roman" w:hAnsi="Times New Roman" w:cs="Times New Roman"/>
        <w:b/>
        <w:sz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4381B84"/>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D9F315E"/>
    <w:multiLevelType w:val="hybridMultilevel"/>
    <w:tmpl w:val="3140BA72"/>
    <w:lvl w:ilvl="0" w:tplc="326257CE">
      <w:start w:val="1"/>
      <w:numFmt w:val="bullet"/>
      <w:lvlText w:val=""/>
      <w:lvlJc w:val="left"/>
      <w:pPr>
        <w:ind w:left="720" w:hanging="360"/>
      </w:pPr>
      <w:rPr>
        <w:rFonts w:ascii="Symbol" w:hAnsi="Symbol" w:hint="default"/>
        <w:sz w:val="24"/>
        <w:szCs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70984BCF"/>
    <w:multiLevelType w:val="hybridMultilevel"/>
    <w:tmpl w:val="EF2CFB9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16cid:durableId="1016270099">
    <w:abstractNumId w:val="0"/>
  </w:num>
  <w:num w:numId="2" w16cid:durableId="1646396923">
    <w:abstractNumId w:val="0"/>
  </w:num>
  <w:num w:numId="3" w16cid:durableId="695231606">
    <w:abstractNumId w:val="0"/>
    <w:lvlOverride w:ilvl="0"/>
  </w:num>
  <w:num w:numId="4" w16cid:durableId="2077386685">
    <w:abstractNumId w:val="1"/>
  </w:num>
  <w:num w:numId="5" w16cid:durableId="2074307463">
    <w:abstractNumId w:val="1"/>
    <w:lvlOverride w:ilvl="0"/>
    <w:lvlOverride w:ilvl="1"/>
    <w:lvlOverride w:ilvl="2"/>
    <w:lvlOverride w:ilvl="3"/>
    <w:lvlOverride w:ilvl="4"/>
    <w:lvlOverride w:ilvl="5"/>
    <w:lvlOverride w:ilvl="6"/>
    <w:lvlOverride w:ilvl="7"/>
    <w:lvlOverride w:ilvl="8"/>
  </w:num>
  <w:num w:numId="6" w16cid:durableId="1813980068">
    <w:abstractNumId w:val="2"/>
  </w:num>
  <w:num w:numId="7" w16cid:durableId="20695681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4BAE"/>
    <w:rsid w:val="00EE4BAE"/>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15:chartTrackingRefBased/>
  <w15:docId w15:val="{AF86931B-E930-4963-BBC4-F681749B7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s-C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2" w:lineRule="auto"/>
    </w:pPr>
    <w:rPr>
      <w:sz w:val="22"/>
      <w:szCs w:val="22"/>
    </w:rPr>
  </w:style>
  <w:style w:type="paragraph" w:styleId="Ttulo1">
    <w:name w:val="heading 1"/>
    <w:basedOn w:val="Normal"/>
    <w:next w:val="Normal"/>
    <w:link w:val="Ttulo1C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semiHidden/>
    <w:unhideWhenUsed/>
    <w:rPr>
      <w:color w:val="0000FF"/>
      <w:u w:val="single"/>
    </w:rPr>
  </w:style>
  <w:style w:type="character" w:styleId="Hipervnculovisitado">
    <w:name w:val="FollowedHyperlink"/>
    <w:basedOn w:val="Fuentedeprrafopredeter"/>
    <w:uiPriority w:val="99"/>
    <w:semiHidden/>
    <w:unhideWhenUsed/>
    <w:rPr>
      <w:color w:val="954F72" w:themeColor="followedHyperlink"/>
      <w:u w:val="single"/>
    </w:rPr>
  </w:style>
  <w:style w:type="character" w:customStyle="1" w:styleId="Ttulo1Car">
    <w:name w:val="Título 1 Car"/>
    <w:basedOn w:val="Fuentedeprrafopredeter"/>
    <w:link w:val="Ttulo1"/>
    <w:uiPriority w:val="9"/>
    <w:locked/>
    <w:rPr>
      <w:rFonts w:asciiTheme="majorHAnsi" w:eastAsiaTheme="majorEastAsia" w:hAnsiTheme="majorHAnsi" w:cstheme="majorBidi" w:hint="default"/>
      <w:color w:val="2E74B5" w:themeColor="accent1" w:themeShade="BF"/>
      <w:sz w:val="32"/>
      <w:szCs w:val="32"/>
    </w:rPr>
  </w:style>
  <w:style w:type="paragraph" w:customStyle="1" w:styleId="msonormal0">
    <w:name w:val="msonormal"/>
    <w:basedOn w:val="Normal"/>
    <w:uiPriority w:val="99"/>
    <w:semiHidden/>
    <w:rPr>
      <w:rFonts w:ascii="Times New Roman" w:hAnsi="Times New Roman" w:cs="Times New Roman"/>
      <w:sz w:val="24"/>
      <w:szCs w:val="24"/>
    </w:rPr>
  </w:style>
  <w:style w:type="paragraph" w:styleId="NormalWeb">
    <w:name w:val="Normal (Web)"/>
    <w:basedOn w:val="Normal"/>
    <w:uiPriority w:val="99"/>
    <w:semiHidden/>
    <w:unhideWhenUsed/>
    <w:rPr>
      <w:rFonts w:ascii="Times New Roman" w:hAnsi="Times New Roman" w:cs="Times New Roman"/>
      <w:sz w:val="24"/>
      <w:szCs w:val="24"/>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style>
  <w:style w:type="paragraph" w:styleId="Piedepgina">
    <w:name w:val="footer"/>
    <w:basedOn w:val="Normal"/>
    <w:link w:val="PiedepginaCar"/>
    <w:uiPriority w:val="99"/>
    <w:semiHidden/>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locked/>
  </w:style>
  <w:style w:type="paragraph" w:styleId="Descripcin">
    <w:name w:val="caption"/>
    <w:basedOn w:val="Normal"/>
    <w:next w:val="Normal"/>
    <w:uiPriority w:val="99"/>
    <w:semiHidden/>
    <w:unhideWhenUsed/>
    <w:qFormat/>
    <w:pPr>
      <w:spacing w:after="0" w:line="240" w:lineRule="auto"/>
      <w:jc w:val="right"/>
    </w:pPr>
    <w:rPr>
      <w:rFonts w:ascii="Comic Sans MS" w:eastAsia="Times New Roman" w:hAnsi="Comic Sans MS" w:cs="Times New Roman"/>
      <w:b/>
      <w:i/>
      <w:sz w:val="24"/>
      <w:szCs w:val="20"/>
      <w:lang w:val="es-ES_tradnl" w:eastAsia="es-ES"/>
    </w:rPr>
  </w:style>
  <w:style w:type="paragraph" w:styleId="Listaconvietas">
    <w:name w:val="List Bullet"/>
    <w:basedOn w:val="Normal"/>
    <w:uiPriority w:val="99"/>
    <w:semiHidden/>
    <w:unhideWhenUsed/>
    <w:pPr>
      <w:numPr>
        <w:numId w:val="3"/>
      </w:numPr>
      <w:contextualSpacing/>
    </w:p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locked/>
    <w:rPr>
      <w:rFonts w:ascii="Segoe UI" w:hAnsi="Segoe UI" w:cs="Segoe UI" w:hint="default"/>
      <w:sz w:val="18"/>
      <w:szCs w:val="18"/>
    </w:rPr>
  </w:style>
  <w:style w:type="paragraph" w:styleId="Sinespaciado">
    <w:name w:val="No Spacing"/>
    <w:uiPriority w:val="1"/>
    <w:semiHidden/>
    <w:qFormat/>
    <w:rPr>
      <w:sz w:val="22"/>
      <w:szCs w:val="22"/>
    </w:rPr>
  </w:style>
  <w:style w:type="paragraph" w:styleId="Prrafodelista">
    <w:name w:val="List Paragraph"/>
    <w:basedOn w:val="Normal"/>
    <w:uiPriority w:val="34"/>
    <w:semiHidden/>
    <w:qFormat/>
    <w:pPr>
      <w:ind w:left="720"/>
      <w:contextualSpacing/>
    </w:pPr>
  </w:style>
  <w:style w:type="paragraph" w:customStyle="1" w:styleId="Default">
    <w:name w:val="Default"/>
    <w:uiPriority w:val="99"/>
    <w:semiHidden/>
    <w:pPr>
      <w:autoSpaceDE w:val="0"/>
      <w:autoSpaceDN w:val="0"/>
      <w:adjustRightInd w:val="0"/>
    </w:pPr>
    <w:rPr>
      <w:rFonts w:ascii="Arial" w:hAnsi="Arial" w:cs="Arial"/>
      <w:color w:val="000000"/>
      <w:sz w:val="24"/>
      <w:szCs w:val="24"/>
    </w:rPr>
  </w:style>
  <w:style w:type="character" w:customStyle="1" w:styleId="normaltextrun">
    <w:name w:val="normaltextrun"/>
    <w:basedOn w:val="Fuentedeprrafopredeter"/>
  </w:style>
  <w:style w:type="character" w:customStyle="1" w:styleId="eop">
    <w:name w:val="eop"/>
    <w:basedOn w:val="Fuentedeprrafopredeter"/>
  </w:style>
  <w:style w:type="table" w:styleId="Tablaconcuadrcula">
    <w:name w:val="Table Grid"/>
    <w:basedOn w:val="Tabla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21">
    <w:name w:val="Tabla de cuadrícula 4 - Énfasis 21"/>
    <w:basedOn w:val="Tablanormal"/>
    <w:uiPriority w:val="49"/>
    <w:rPr>
      <w:sz w:val="22"/>
      <w:szCs w:val="22"/>
    </w:rPr>
    <w:tblPr>
      <w:tblStyleRowBandSize w:val="1"/>
      <w:tblStyleColBandSize w:val="1"/>
      <w:tblInd w:w="0" w:type="nil"/>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style>
  <w:style w:type="table" w:customStyle="1" w:styleId="Tabladecuadrcula4-nfasis41">
    <w:name w:val="Tabla de cuadrícula 4 - Énfasis 41"/>
    <w:basedOn w:val="Tablanormal"/>
    <w:uiPriority w:val="49"/>
    <w:tbl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7698E1-4B6F-430D-AD25-427B00D18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1183</Words>
  <Characters>6509</Characters>
  <Application>Microsoft Office Word</Application>
  <DocSecurity>0</DocSecurity>
  <Lines>54</Lines>
  <Paragraphs>15</Paragraphs>
  <ScaleCrop>false</ScaleCrop>
  <Company>Microsoft</Company>
  <LinksUpToDate>false</LinksUpToDate>
  <CharactersWithSpaces>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Maureen Hidalgo Madrigal</dc:creator>
  <cp:keywords/>
  <dc:description/>
  <cp:lastModifiedBy>David Eduarte Vargas</cp:lastModifiedBy>
  <cp:revision>2</cp:revision>
  <cp:lastPrinted>2019-08-06T21:41:00Z</cp:lastPrinted>
  <dcterms:created xsi:type="dcterms:W3CDTF">2022-05-13T20:07:00Z</dcterms:created>
  <dcterms:modified xsi:type="dcterms:W3CDTF">2022-05-13T20:07:00Z</dcterms:modified>
</cp:coreProperties>
</file>