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21"/>
        <w:gridCol w:w="1074"/>
        <w:gridCol w:w="3443"/>
        <w:gridCol w:w="3403"/>
        <w:gridCol w:w="547"/>
        <w:gridCol w:w="221"/>
      </w:tblGrid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  <w:bookmarkStart w:id="0" w:name="_Hlk55638375"/>
          </w:p>
        </w:tc>
        <w:tc>
          <w:tcPr>
            <w:tcW w:w="7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before="240" w:after="24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Coordinada por CONAPAM, CNE e IMAS</w:t>
            </w:r>
          </w:p>
          <w:p w:rsidR="00000000" w:rsidRDefault="00E866A7">
            <w:pPr>
              <w:spacing w:before="240" w:after="240"/>
              <w:jc w:val="center"/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 xml:space="preserve">Adultos mayores trasladados a albergues reciben atención humanitaria </w:t>
            </w:r>
          </w:p>
          <w:p w:rsidR="00000000" w:rsidRDefault="00E866A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639560" cy="4429125"/>
                  <wp:effectExtent l="0" t="0" r="8890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9560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866A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00000" w:rsidRDefault="00E866A7">
            <w:pPr>
              <w:pStyle w:val="Prrafodelista"/>
              <w:numPr>
                <w:ilvl w:val="0"/>
                <w:numId w:val="2"/>
              </w:numPr>
              <w:tabs>
                <w:tab w:val="left" w:pos="3210"/>
              </w:tabs>
              <w:spacing w:line="25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También reciben asistencia  adultos mayores que permanecen en sus </w:t>
            </w:r>
            <w:r>
              <w:rPr>
                <w:rFonts w:ascii="Arial" w:hAnsi="Arial" w:cs="Arial"/>
                <w:i/>
              </w:rPr>
              <w:t>hogares con afectación por daños a viviendas o a  enseres domésticos.</w:t>
            </w:r>
          </w:p>
          <w:p w:rsidR="00000000" w:rsidRDefault="00E866A7">
            <w:pPr>
              <w:pStyle w:val="Prrafodelista"/>
              <w:numPr>
                <w:ilvl w:val="0"/>
                <w:numId w:val="2"/>
              </w:numPr>
              <w:spacing w:before="240" w:after="2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CONAPAM informa que Talamanca en primer lugar, seguido de Matina en la Región Caribe, suman 380 de los 596 adultos mayores damnificados en todo el país.</w:t>
            </w:r>
          </w:p>
          <w:p w:rsidR="00000000" w:rsidRDefault="00E866A7">
            <w:pPr>
              <w:pStyle w:val="Prrafodelista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</w:p>
          <w:p w:rsidR="00000000" w:rsidRDefault="00E866A7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</w:rPr>
              <w:t>San José, 28 de julio de 2021.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l Instituto Mixto de Ayuda Social (IMAS) articula con el Consejo Nacional de la Persona Adulta Mayor (CONAPAM) y la Comisión Nacional de Emergencias (CNE), así como las distintas redes de cuido y otras entidades, para velar por la protección digna de las p</w:t>
            </w:r>
            <w:r>
              <w:rPr>
                <w:rFonts w:ascii="Arial" w:hAnsi="Arial" w:cs="Arial"/>
                <w:sz w:val="24"/>
                <w:szCs w:val="24"/>
              </w:rPr>
              <w:t xml:space="preserve">ersonas adultas mayores identificadas en albergues y comunidades afectadas por las recientes lluvias. </w:t>
            </w:r>
          </w:p>
          <w:p w:rsidR="00000000" w:rsidRDefault="00E866A7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Personal del CONAPAM) y el IMAS realizan un trabajo de registro de los afectados por las recientes lluvias, con el propósito de ofrecerles seguimiento en</w:t>
            </w:r>
            <w:r>
              <w:rPr>
                <w:rFonts w:ascii="Arial" w:hAnsi="Arial" w:cs="Arial"/>
                <w:sz w:val="24"/>
                <w:szCs w:val="24"/>
              </w:rPr>
              <w:t xml:space="preserve"> sus hogares, o bien trasladarlos a los albergues habilitados para atender la emergencia.</w:t>
            </w:r>
          </w:p>
          <w:p w:rsidR="00000000" w:rsidRDefault="00E866A7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“Se registran labores de evacuación, reposición de tratamientos médicos, equipamiento, ayudas alimentarias, entre otras según lo requiera el pleno cumplimiento de los</w:t>
            </w:r>
            <w:r>
              <w:rPr>
                <w:rFonts w:ascii="Arial" w:hAnsi="Arial" w:cs="Arial"/>
                <w:sz w:val="24"/>
                <w:szCs w:val="24"/>
              </w:rPr>
              <w:t xml:space="preserve"> derechos de cada persona", indicó el ministro de Desarrollo Humano, Juan Luis Bermúdez. </w:t>
            </w:r>
          </w:p>
          <w:p w:rsidR="00000000" w:rsidRDefault="00E866A7">
            <w:pPr>
              <w:spacing w:before="240"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790690" cy="4524375"/>
                  <wp:effectExtent l="0" t="0" r="0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690" cy="452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866A7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Igualmente, el presidente de la Junta </w:t>
            </w:r>
            <w:r>
              <w:rPr>
                <w:rFonts w:ascii="Arial" w:hAnsi="Arial" w:cs="Arial"/>
                <w:sz w:val="24"/>
                <w:szCs w:val="24"/>
              </w:rPr>
              <w:t xml:space="preserve">Rectora del CONAPAM, Dennis Angulo, manifestó que “se mantiene monitoreo en hogares de larga estancia de zonas afectadas. A la fecha, uno de los hogares de larga estancia que estuvo aislado, es el que se ubica en Bambú en Talamanca, Fundación Santa Luisa, </w:t>
            </w:r>
            <w:r>
              <w:rPr>
                <w:rFonts w:ascii="Arial" w:hAnsi="Arial" w:cs="Arial"/>
                <w:sz w:val="24"/>
                <w:szCs w:val="24"/>
              </w:rPr>
              <w:t>sin embargo, se coordinó para la reapertura del paso”.</w:t>
            </w:r>
          </w:p>
          <w:p w:rsidR="00000000" w:rsidRDefault="00E866A7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00000" w:rsidRDefault="00E866A7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“Ante la situación de emergencia que vivimos, es necesario garantizar la integridad y los derechos de las personas adultas mayores en condición de riesgo y vulnerabilidad; por lo que llamamos la aten</w:t>
            </w:r>
            <w:r>
              <w:rPr>
                <w:rFonts w:ascii="Arial" w:hAnsi="Arial" w:cs="Arial"/>
                <w:sz w:val="24"/>
                <w:szCs w:val="24"/>
              </w:rPr>
              <w:t>ción para que estas personas reciban de nuestra parte la atención prioritaria y preferencial que se merecen ante sus necesidades y requerimientos”, añadió Angulo.</w:t>
            </w:r>
          </w:p>
          <w:p w:rsidR="00000000" w:rsidRDefault="00E866A7">
            <w:pPr>
              <w:spacing w:before="240" w:after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6655435" cy="443674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5435" cy="443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E866A7">
            <w:pPr>
              <w:spacing w:before="240" w:after="24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Según las redes de cuido de Personas Adultas Mayores (PAM), en los cantones de Matina y Tal</w:t>
            </w:r>
            <w:r>
              <w:rPr>
                <w:rFonts w:ascii="Arial" w:hAnsi="Arial" w:cs="Arial"/>
                <w:sz w:val="24"/>
                <w:szCs w:val="24"/>
              </w:rPr>
              <w:t>amanca se están interviniendo a 380  personas adultas mayores afectadas por las lluvias, lo que convierte a Limón en la provincia con más adultos afectados. Asimismo en la provincia de Cartago, se identificaron 56 adultos mayores afectados, en Alajuela 114</w:t>
            </w:r>
            <w:r>
              <w:rPr>
                <w:rFonts w:ascii="Arial" w:hAnsi="Arial" w:cs="Arial"/>
                <w:sz w:val="24"/>
                <w:szCs w:val="24"/>
              </w:rPr>
              <w:t xml:space="preserve"> y en Heredia 45 damnificados, lo que suma un total de 596 personas adultas mayores en riesgo producto de las lluvias de los últimos días.</w:t>
            </w:r>
          </w:p>
          <w:p w:rsidR="00000000" w:rsidRDefault="00E866A7">
            <w:pPr>
              <w:tabs>
                <w:tab w:val="left" w:pos="321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000000"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E866A7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bookmarkEnd w:id="0"/>
    </w:tbl>
    <w:p w:rsidR="00000000" w:rsidRDefault="00E866A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E866A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E866A7">
      <w:pPr>
        <w:rPr>
          <w:rFonts w:ascii="Arial" w:hAnsi="Arial" w:cs="Arial"/>
          <w:bCs/>
          <w:sz w:val="24"/>
          <w:szCs w:val="24"/>
          <w:lang w:val="es-ES"/>
        </w:rPr>
      </w:pPr>
    </w:p>
    <w:p w:rsidR="00000000" w:rsidRDefault="00E866A7">
      <w:pPr>
        <w:rPr>
          <w:lang w:val="es-ES"/>
        </w:rPr>
      </w:pPr>
    </w:p>
    <w:sectPr w:rsidR="00000000">
      <w:headerReference w:type="default" r:id="rId10"/>
      <w:pgSz w:w="11907" w:h="16839"/>
      <w:pgMar w:top="1134" w:right="1134" w:bottom="1134" w:left="1134" w:header="426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866A7">
      <w:pPr>
        <w:spacing w:after="0" w:line="240" w:lineRule="auto"/>
      </w:pPr>
      <w:r>
        <w:separator/>
      </w:r>
    </w:p>
  </w:endnote>
  <w:endnote w:type="continuationSeparator" w:id="0">
    <w:p w:rsidR="00000000" w:rsidRDefault="00E8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866A7">
      <w:pPr>
        <w:spacing w:after="0" w:line="240" w:lineRule="auto"/>
      </w:pPr>
      <w:r>
        <w:separator/>
      </w:r>
    </w:p>
  </w:footnote>
  <w:footnote w:type="continuationSeparator" w:id="0">
    <w:p w:rsidR="00000000" w:rsidRDefault="00E86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E866A7">
    <w:pPr>
      <w:pStyle w:val="Encabezado"/>
      <w:ind w:left="2124" w:right="618"/>
      <w:jc w:val="right"/>
      <w:rPr>
        <w:rFonts w:ascii="Times New Roman" w:hAnsi="Times New Roman" w:cs="Times New Roman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116D9"/>
    <w:multiLevelType w:val="hybridMultilevel"/>
    <w:tmpl w:val="77EAF180"/>
    <w:lvl w:ilvl="0" w:tplc="53C8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9405">
    <w:abstractNumId w:val="0"/>
  </w:num>
  <w:num w:numId="2" w16cid:durableId="21338160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A7"/>
    <w:rsid w:val="00E8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AF86931B-E930-4963-BBC4-F681749B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2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R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Pr>
      <w:sz w:val="22"/>
      <w:szCs w:val="22"/>
      <w:lang w:val="es-CR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table" w:styleId="Tablaconcuadrcula">
    <w:name w:val="Table Grid"/>
    <w:basedOn w:val="Tablanormal"/>
    <w:uiPriority w:val="39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2121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Madrigal Guzman</dc:creator>
  <cp:keywords/>
  <dc:description/>
  <cp:lastModifiedBy>David Eduarte Vargas</cp:lastModifiedBy>
  <cp:revision>2</cp:revision>
  <dcterms:created xsi:type="dcterms:W3CDTF">2022-05-13T20:06:00Z</dcterms:created>
  <dcterms:modified xsi:type="dcterms:W3CDTF">2022-05-13T20:06:00Z</dcterms:modified>
</cp:coreProperties>
</file>