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1079"/>
        <w:gridCol w:w="3437"/>
        <w:gridCol w:w="3397"/>
        <w:gridCol w:w="555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3B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3BC">
            <w:pPr>
              <w:rPr>
                <w:lang w:val="es-ES"/>
              </w:rPr>
            </w:pPr>
          </w:p>
          <w:p w:rsidR="00000000" w:rsidRDefault="00FD73BC">
            <w:pPr>
              <w:ind w:right="310"/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  <w:t>14 cantones en alerta naranja por COVID-19</w:t>
            </w:r>
          </w:p>
          <w:p w:rsidR="00000000" w:rsidRDefault="00FD73BC">
            <w:pPr>
              <w:ind w:right="310"/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</w:pPr>
          </w:p>
          <w:p w:rsidR="00000000" w:rsidRDefault="00FD73BC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31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Semana epidemiológica #44 cerró con 2.535 personas positivas por COVID-19</w:t>
            </w:r>
          </w:p>
          <w:p w:rsidR="00000000" w:rsidRDefault="00FD73BC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31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Casos se redujeron en un 25,7% en la última semana</w:t>
            </w:r>
          </w:p>
          <w:p w:rsidR="00000000" w:rsidRDefault="00FD73BC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31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Provincias de San José y Cartago no </w:t>
            </w:r>
            <w:r>
              <w:rPr>
                <w:rFonts w:ascii="Arial" w:hAnsi="Arial" w:cs="Arial"/>
                <w:i/>
              </w:rPr>
              <w:t>reportan cantones en alerta naranja</w:t>
            </w:r>
          </w:p>
          <w:p w:rsidR="00000000" w:rsidRDefault="00FD73BC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31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País muestra reducción en contagios y hospitalizaciones en las últimas semanas.</w:t>
            </w:r>
          </w:p>
          <w:p w:rsidR="00000000" w:rsidRDefault="00FD73B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:rsidR="00000000" w:rsidRDefault="00FD73BC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San José, 09 de noviembre de 2021.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A pesar de que el país reportó una disminución de casos positivos por COVID-19 por sexta semana consecut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iva, 14 cantones de cinco provincias mantienen la alerta naranja ya que la circulación del virus se mantiene alta. De estos, el 43% se ubica en la provincia de Guanacaste.</w:t>
            </w:r>
          </w:p>
          <w:p w:rsidR="00000000" w:rsidRDefault="00FD73BC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:rsidR="00000000" w:rsidRDefault="00FD73BC">
            <w:pPr>
              <w:spacing w:after="0"/>
              <w:ind w:right="310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Cantones que se mantienen en alerta naranja</w:t>
            </w:r>
          </w:p>
          <w:p w:rsidR="00000000" w:rsidRDefault="00FD73BC">
            <w:pPr>
              <w:jc w:val="center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noProof/>
                <w:sz w:val="24"/>
                <w:szCs w:val="44"/>
                <w:lang w:val="es-ES" w:eastAsia="es-ES"/>
              </w:rPr>
              <w:drawing>
                <wp:inline distT="0" distB="0" distL="0" distR="0">
                  <wp:extent cx="6870065" cy="4158615"/>
                  <wp:effectExtent l="0" t="0" r="698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065" cy="415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D73BC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Las autoridades hicieron un llamado particular a los 14 cantones que se mantienen en alerta naranja para redoblar los esfuerzos en la aplicación de los protocolos sanitarios en busca de disminuir los contagios y consolidar la evolución positiva de la pande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mia que se ha dado en la mayor parte del país.</w:t>
            </w:r>
          </w:p>
          <w:p w:rsidR="00000000" w:rsidRDefault="00FD73BC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:rsidR="00000000" w:rsidRDefault="00FD73BC">
            <w:pPr>
              <w:ind w:right="310"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“Aun cuando se ha dado una disminución importante de contagios, en 19 cantones los contagios subieron entre 1 y 15 casos nuevos. Por lo tanto, recordamos a toda la población mantener el uso de mascarilla, lav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ado de manos, distanciamiento, evitar aglomeraciones y respetar nuestras burbujas como acciones que podemos tomar para seguir contribuyendo en la disminución de casos a nivel nacional”, expuso Sigifredo Pérez, Director de gestión de riesgo de la CNE.</w:t>
            </w:r>
          </w:p>
          <w:p w:rsidR="00000000" w:rsidRDefault="00FD73BC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:rsidR="00000000" w:rsidRDefault="00FD73BC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Dura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nte la semana epidemiológica #44 el total de contagios por COVID-19 cerró en 2.535, lo que representó una disminución de 25.7% con respecto a la semana anterior. Según los datos aportados por la Sala de Análisis de la Situación Nacional (SASN), la semana f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inalizada el 7 de noviembre reportó la menor cantidad de casos desde marzo, cuando en la semana #10 se registraron 2.517 contagios.</w:t>
            </w:r>
          </w:p>
          <w:p w:rsidR="00000000" w:rsidRDefault="00FD73BC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:rsidR="00000000" w:rsidRDefault="00FD73BC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:rsidR="00000000" w:rsidRDefault="00FD73BC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:rsidR="00000000" w:rsidRDefault="00FD73BC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:rsidR="00000000" w:rsidRDefault="00FD73BC">
            <w:pPr>
              <w:spacing w:after="0"/>
              <w:ind w:right="310"/>
              <w:contextualSpacing/>
              <w:jc w:val="center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noProof/>
                <w:sz w:val="24"/>
                <w:szCs w:val="44"/>
                <w:lang w:val="es-ES" w:eastAsia="es-ES"/>
              </w:rPr>
              <w:drawing>
                <wp:inline distT="0" distB="0" distL="0" distR="0">
                  <wp:extent cx="7037070" cy="3713480"/>
                  <wp:effectExtent l="0" t="0" r="0" b="127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7070" cy="371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D73BC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:rsidR="00000000" w:rsidRDefault="00FD73BC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Para esta semana, el Centro de Operaciones de Emergencias, de acuerdo con los datos reportados en las últimas semanas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, definió que 21 cantones bajan su alerta de naranja a amarilla:</w:t>
            </w:r>
          </w:p>
          <w:p w:rsidR="00000000" w:rsidRDefault="00FD73BC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:rsidR="00000000" w:rsidRDefault="00FD73BC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44"/>
                <w:lang w:val="es-ES" w:eastAsia="es-ES"/>
              </w:rPr>
              <w:t>San José: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 Alajuelita, Curridabat, Desamparados, Tarrazú y Vázquez de Coronado.</w:t>
            </w:r>
          </w:p>
          <w:p w:rsidR="00000000" w:rsidRDefault="00FD73BC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44"/>
                <w:lang w:val="es-ES" w:eastAsia="es-ES"/>
              </w:rPr>
              <w:t>Alajuela: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 Guatuso y San Ramón.</w:t>
            </w:r>
          </w:p>
          <w:p w:rsidR="00000000" w:rsidRDefault="00FD73BC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44"/>
                <w:lang w:val="es-ES" w:eastAsia="es-ES"/>
              </w:rPr>
              <w:t>Cartago: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 El Guarco.</w:t>
            </w:r>
          </w:p>
          <w:p w:rsidR="00000000" w:rsidRDefault="00FD73BC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44"/>
                <w:lang w:val="es-ES" w:eastAsia="es-ES"/>
              </w:rPr>
              <w:t>Heredia: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 Barva y Belén.</w:t>
            </w:r>
          </w:p>
          <w:p w:rsidR="00000000" w:rsidRDefault="00FD73BC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44"/>
                <w:lang w:val="es-ES" w:eastAsia="es-ES"/>
              </w:rPr>
              <w:lastRenderedPageBreak/>
              <w:t>Guanacaste: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 Abangares, Santa Cruz y 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Tilarán.</w:t>
            </w:r>
          </w:p>
          <w:p w:rsidR="00000000" w:rsidRDefault="00FD73BC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44"/>
                <w:lang w:val="es-ES" w:eastAsia="es-ES"/>
              </w:rPr>
              <w:t>Puntarenas: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  Corredores, Esparza, Garabito, Parritas y Puntarenas.</w:t>
            </w:r>
          </w:p>
          <w:p w:rsidR="00000000" w:rsidRDefault="00FD73BC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44"/>
                <w:lang w:val="es-ES" w:eastAsia="es-ES"/>
              </w:rPr>
              <w:t>Limón: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 Pococí, Siquirres y Talamanca.</w:t>
            </w:r>
          </w:p>
          <w:p w:rsidR="00000000" w:rsidRDefault="00FD73BC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:rsidR="00000000" w:rsidRDefault="00FD73BC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En total, 19 cantones de todo el país mostraron incrementos leves en el número de casos.  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Entre los cantones que se mantienen en alerta naranja, destaca en el caso de Bagaces que la semana anterior mostró un incremento del 63%, al pasar de 8 a 13 contagios.</w:t>
            </w:r>
          </w:p>
          <w:p w:rsidR="00000000" w:rsidRDefault="00FD73BC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:rsidR="00000000" w:rsidRDefault="00FD73BC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b/>
                <w:bCs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44"/>
                <w:lang w:val="es-ES" w:eastAsia="es-ES"/>
              </w:rPr>
              <w:t>Evolución positiva de la pandemia</w:t>
            </w:r>
          </w:p>
          <w:p w:rsidR="00000000" w:rsidRDefault="00FD73BC">
            <w:pPr>
              <w:ind w:right="310"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:rsidR="00000000" w:rsidRDefault="00FD73BC">
            <w:pPr>
              <w:ind w:right="310"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En las últimas ocho semanas los casos se redujeron e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n un 85,6%, desde el pico en la segunda semana de setiembre cuando se presentaron 17.664 casos, la semana anterior el dato cerró en 2.535 contagios.</w:t>
            </w:r>
          </w:p>
          <w:p w:rsidR="00000000" w:rsidRDefault="00FD73BC">
            <w:pPr>
              <w:ind w:right="310"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Además, la ocupación hospitalaria muestra los registros de internamientos más bajos desde marzo. El pico má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s alto de ocupación durante las últimas semanas fue el 28 de setiembre con 1.359 internamientos, mientras que este lunes 8 de noviembre el dato fue de 472, una reducción de 65,3%.</w:t>
            </w:r>
          </w:p>
          <w:p w:rsidR="00000000" w:rsidRDefault="00FD73BC">
            <w:pPr>
              <w:ind w:right="310"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En el caso de los internamientos con requerimiento de cuidados intensivos, s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e logró retomar la atención dentro los umbrales óptimos (359 UCI), ayer se reportaron 198 personas en cuidados intensivos, un 60,1% menos que el 11 de setiembre cuando llegó a 496, el dato más alto de las últimas semanas.</w:t>
            </w:r>
          </w:p>
          <w:p w:rsidR="00000000" w:rsidRDefault="00FD73BC">
            <w:pPr>
              <w:ind w:right="310"/>
              <w:jc w:val="both"/>
              <w:rPr>
                <w:rFonts w:ascii="Calibri" w:hAnsi="Calibri" w:cs="Calibri"/>
                <w:bCs/>
              </w:rPr>
            </w:pPr>
          </w:p>
          <w:p w:rsidR="00000000" w:rsidRDefault="00FD73BC">
            <w:pPr>
              <w:ind w:right="310"/>
              <w:jc w:val="center"/>
              <w:rPr>
                <w:rFonts w:ascii="Calibri" w:hAnsi="Calibri" w:cs="Calibri"/>
                <w:bCs/>
              </w:rPr>
            </w:pPr>
          </w:p>
          <w:p w:rsidR="00000000" w:rsidRDefault="00FD73BC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:rsidR="00000000" w:rsidRDefault="00FD73BC">
            <w:pPr>
              <w:jc w:val="center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:rsidR="00000000" w:rsidRDefault="00FD73BC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3B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3B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3B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3B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3B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3B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73B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FD73BC">
      <w:pPr>
        <w:jc w:val="right"/>
        <w:rPr>
          <w:rFonts w:cstheme="minorHAnsi"/>
          <w:bCs/>
          <w:sz w:val="20"/>
          <w:szCs w:val="20"/>
        </w:rPr>
      </w:pPr>
    </w:p>
    <w:sectPr w:rsidR="00000000">
      <w:headerReference w:type="default" r:id="rId10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D73BC">
      <w:pPr>
        <w:spacing w:after="0" w:line="240" w:lineRule="auto"/>
      </w:pPr>
      <w:r>
        <w:separator/>
      </w:r>
    </w:p>
  </w:endnote>
  <w:endnote w:type="continuationSeparator" w:id="0">
    <w:p w:rsidR="00000000" w:rsidRDefault="00FD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FD73BC">
      <w:pPr>
        <w:spacing w:after="0" w:line="240" w:lineRule="auto"/>
      </w:pPr>
      <w:r>
        <w:separator/>
      </w:r>
    </w:p>
  </w:footnote>
  <w:footnote w:type="continuationSeparator" w:id="0">
    <w:p w:rsidR="00000000" w:rsidRDefault="00FD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FD73BC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482B74"/>
    <w:multiLevelType w:val="multilevel"/>
    <w:tmpl w:val="8DC68C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32996485">
    <w:abstractNumId w:val="0"/>
  </w:num>
  <w:num w:numId="2" w16cid:durableId="123235255">
    <w:abstractNumId w:val="0"/>
  </w:num>
  <w:num w:numId="3" w16cid:durableId="236789216">
    <w:abstractNumId w:val="0"/>
    <w:lvlOverride w:ilvl="0"/>
  </w:num>
  <w:num w:numId="4" w16cid:durableId="405880520">
    <w:abstractNumId w:val="1"/>
  </w:num>
  <w:num w:numId="5" w16cid:durableId="109354944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BC"/>
    <w:rsid w:val="00F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Pr>
      <w:rFonts w:ascii="Arial" w:eastAsia="Arial" w:hAnsi="Arial" w:cs="Arial"/>
      <w:sz w:val="22"/>
      <w:szCs w:val="22"/>
      <w:lang w:eastAsia="es-ES_tradn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D2FF-81AC-4EAD-BA32-0B4CC6A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2901</Characters>
  <Application>Microsoft Office Word</Application>
  <DocSecurity>0</DocSecurity>
  <Lines>24</Lines>
  <Paragraphs>6</Paragraphs>
  <ScaleCrop>false</ScaleCrop>
  <Company>Microsoft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2019-08-06T21:41:00Z</cp:lastPrinted>
  <dcterms:created xsi:type="dcterms:W3CDTF">2022-05-13T20:03:00Z</dcterms:created>
  <dcterms:modified xsi:type="dcterms:W3CDTF">2022-05-13T20:03:00Z</dcterms:modified>
</cp:coreProperties>
</file>