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pStyle w:val="Ttulo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 fueron adjudicados la mayor parte de los de insumos para proceso de vacunación</w:t>
            </w:r>
          </w:p>
          <w:p w:rsidR="00000000" w:rsidRDefault="00376FA8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es-CR"/>
              </w:rPr>
            </w:pPr>
          </w:p>
          <w:p w:rsidR="00000000" w:rsidRDefault="00376F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En enero iniciará la construcción de cuarto frío para el almacenaje de las vacunas. </w:t>
            </w:r>
          </w:p>
          <w:p w:rsidR="00000000" w:rsidRDefault="00376F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El plan de inversión total es de $70.773.708, que incluye el rubro de vacunas e insumos</w:t>
            </w:r>
          </w:p>
          <w:p w:rsidR="00000000" w:rsidRDefault="00376F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Plan contempla la adquisición de 13 congeladores, 6 millones de jeringas, 6 millones de agujas y 3 millones de torundas de algodón </w:t>
            </w:r>
          </w:p>
          <w:p w:rsidR="00000000" w:rsidRDefault="00376F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 días próximos, se publicará el ca</w:t>
            </w:r>
            <w:r>
              <w:rPr>
                <w:rFonts w:ascii="Arial" w:hAnsi="Arial" w:cs="Arial"/>
                <w:b/>
                <w:bCs/>
                <w:color w:val="000000"/>
              </w:rPr>
              <w:t>rtel para la compre de 50.000 mascarillas</w:t>
            </w:r>
          </w:p>
          <w:p w:rsidR="00000000" w:rsidRDefault="00376FA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Martes 29 de diciembre, 2020.  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La Comisión Nacional de Prevención de Riesgos y Atención de Emergencias ya ha adjudicado cinco procesos de compra de insumos que se requieren para el proceso de la vacunación contra 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 COVID-19.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Los procesos debidamente adjudicados son los siguientes: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  <w:p w:rsidR="00000000" w:rsidRDefault="00376FA8">
            <w:pPr>
              <w:pStyle w:val="Prrafodelista"/>
              <w:numPr>
                <w:ilvl w:val="0"/>
                <w:numId w:val="4"/>
              </w:numPr>
              <w:jc w:val="both"/>
              <w:rPr>
                <w:rStyle w:val="normaltextrun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13 congeladores de ultra baja temperatura de 550 litros de capacidad y un congelador con capacidad de 750 litros a Importaciones y Exportaciones JK Altívar S.R.L </w:t>
            </w:r>
            <w: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00000" w:rsidRDefault="00376FA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millones de jeringas hipodérmicas a Hospimédica Sociedad Anónima</w:t>
            </w:r>
          </w:p>
          <w:p w:rsidR="00000000" w:rsidRDefault="00376F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millones de agujas hipodérmicas a Hospimédica Sociedad Anónima</w:t>
            </w:r>
          </w:p>
          <w:p w:rsidR="00000000" w:rsidRDefault="00376F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millones de torundas de algodón a Petoy Sociedad Anónima</w:t>
            </w:r>
          </w:p>
          <w:p w:rsidR="00000000" w:rsidRDefault="00376FA8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y construcción de un cuarto frío en el Almacenamiento y Di</w:t>
            </w:r>
            <w:r>
              <w:rPr>
                <w:rFonts w:ascii="Arial" w:hAnsi="Arial" w:cs="Arial"/>
                <w:sz w:val="24"/>
                <w:szCs w:val="24"/>
              </w:rPr>
              <w:t>stribución (ALDI) a Refrigeración Industrial Beirute S.A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 cuanto a los congeladores jeringas, agujas y algodón, estos insumos serán entregados en los primeros dos meses del 2021, para reforzar el proceso de vacunación que inició el pasado 24 de diciembre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En el caso del cuarto frío, que le permitirá a la Caja Costarricense de Seguro Social el almacenaje y distribución de las vacunas, el diseño de los planes y la construcción iniciarán en la primera quincena de enero.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Próximamente, se estará publicando 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cartel para la compra de 50.000 mascarillas quirúrgicas y abrirá un nuevo proceso para la compra de bolsas negras y rojas para desechos. 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Todos los procesos se llevan mediante el 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Sistema 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Integrado de Compras Públicas (SICOP), con el apoyo de la CCSS en su condición de Unidad Ejecutora y del Ministerio de Salud en su rol fiscalizador junto a la Comisión Nacional de Vacunación y Epidemiología.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“Desde la CNE, venimos haciendo un riguroso tra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bajo para asegurar todos los insumos requeridos para llevar a cabo el proceso de vacunación, </w:t>
            </w:r>
            <w:r>
              <w:rPr>
                <w:rFonts w:ascii="Arial" w:hAnsi="Arial" w:cs="Arial"/>
                <w:sz w:val="24"/>
                <w:szCs w:val="24"/>
              </w:rPr>
              <w:t>estas adquisiciones se hacen bajo estrictos procedimientos de contratación administrativa, utilizando el régimen de excepción para que los trámites sean más expedi</w:t>
            </w:r>
            <w:r>
              <w:rPr>
                <w:rFonts w:ascii="Arial" w:hAnsi="Arial" w:cs="Arial"/>
                <w:sz w:val="24"/>
                <w:szCs w:val="24"/>
              </w:rPr>
              <w:t>tos y reducir los plazos de todas las etapas de la contratación”, explicó Alexander Solís, jerarca de la CNE.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0000" w:rsidRDefault="00376F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Primeras vacunas en el país</w:t>
            </w:r>
          </w:p>
          <w:p w:rsidR="00000000" w:rsidRDefault="00376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primer lote de 9750 dosis de la vacuna BNT162b2 desarrollada por Pfizer y BioNTech ya llegó al país e inmediatame</w:t>
            </w:r>
            <w:r>
              <w:rPr>
                <w:rFonts w:ascii="Arial" w:hAnsi="Arial" w:cs="Arial"/>
                <w:sz w:val="24"/>
                <w:szCs w:val="24"/>
              </w:rPr>
              <w:t>nte inició su aplicación el 24 de diciembre.</w:t>
            </w:r>
          </w:p>
          <w:p w:rsidR="00000000" w:rsidRDefault="00376F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vacunas beneficiarán a tres millones de personas en un ciclo de vacunación entre el 2020 y 2021.</w:t>
            </w:r>
          </w:p>
          <w:p w:rsidR="00000000" w:rsidRDefault="00376F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76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lidera en estos momentos tres contratos para adquirir seis millones de dosis de la vacuna a través tre</w:t>
            </w:r>
            <w:r>
              <w:rPr>
                <w:rFonts w:ascii="Arial" w:hAnsi="Arial" w:cs="Arial"/>
                <w:sz w:val="24"/>
                <w:szCs w:val="24"/>
              </w:rPr>
              <w:t xml:space="preserve">s proveedores: Pfizer-BioNTech (tres millones de dosis), AstraZeneca-Oxford (un millón de dosis) y la iniciativa COVAX de la Organización Mundial de la Salud (dos millones de dosis). </w:t>
            </w:r>
          </w:p>
          <w:p w:rsidR="00000000" w:rsidRDefault="00376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espera que, semanalmente, el país reciba más dosis para continuar con</w:t>
            </w:r>
            <w:r>
              <w:rPr>
                <w:rFonts w:ascii="Arial" w:hAnsi="Arial" w:cs="Arial"/>
                <w:sz w:val="24"/>
                <w:szCs w:val="24"/>
              </w:rPr>
              <w:t xml:space="preserve"> el ciclo de vacunación a los grupos de riesgo en el orden establecido por Salud.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Los dineros para los insumos y las vacunas provienen del Fondo Nacional de Emergencias, cuya inversión total es de $70.773.708. </w:t>
            </w:r>
            <w:r>
              <w:rPr>
                <w:rFonts w:ascii="Arial" w:hAnsi="Arial" w:cs="Arial"/>
                <w:sz w:val="24"/>
                <w:szCs w:val="24"/>
              </w:rPr>
              <w:t>Para más detalles de las contrataciones pueden</w:t>
            </w:r>
            <w:r>
              <w:rPr>
                <w:rFonts w:ascii="Arial" w:hAnsi="Arial" w:cs="Arial"/>
                <w:sz w:val="24"/>
                <w:szCs w:val="24"/>
              </w:rPr>
              <w:t xml:space="preserve"> ingresar a la página del SICOP.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op"/>
                <w:color w:val="000000"/>
                <w:shd w:val="clear" w:color="auto" w:fill="FFFFFF"/>
              </w:rPr>
            </w:pP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Todas las compras relacionadas a las vacunas COVID-19 y los equipos necesarios están fundamentadas, en el marco de la declaratoria de </w:t>
            </w:r>
            <w:r>
              <w:rPr>
                <w:rFonts w:ascii="Arial" w:hAnsi="Arial" w:cs="Arial"/>
                <w:sz w:val="24"/>
                <w:szCs w:val="24"/>
              </w:rPr>
              <w:t>emergencia nacional bajo Decreto Ejecutivo N°42227-MP-Sv y en la Ley de la Contratación Administrativa, así como por las disposiciones señaladas en el Reglamento Interno de la Proveeduría institucional.</w:t>
            </w: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7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Cada proceso se analiza junto la Comisión Nacional d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 Vacunación y Epidemiología 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 Caja Costarricense de Seguro Social para</w:t>
            </w:r>
            <w:r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 las especificaciones técnicas de cada producto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, la viabilidad de las ofertas y las condiciones sanitarias necesarias para la protección de la salud y vida de las personas</w:t>
            </w:r>
          </w:p>
          <w:p w:rsidR="00000000" w:rsidRDefault="00376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:rsidR="00000000" w:rsidRDefault="00376F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:rsidR="00000000" w:rsidRDefault="00376FA8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76FA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376FA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376FA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376FA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376FA8">
      <w:pPr>
        <w:rPr>
          <w:lang w:val="es-ES"/>
        </w:rPr>
      </w:pPr>
    </w:p>
    <w:sectPr w:rsidR="00000000">
      <w:headerReference w:type="default" r:id="rId7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76FA8">
      <w:pPr>
        <w:spacing w:after="0" w:line="240" w:lineRule="auto"/>
      </w:pPr>
      <w:r>
        <w:separator/>
      </w:r>
    </w:p>
  </w:endnote>
  <w:endnote w:type="continuationSeparator" w:id="0">
    <w:p w:rsidR="00000000" w:rsidRDefault="0037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76FA8">
      <w:pPr>
        <w:spacing w:after="0" w:line="240" w:lineRule="auto"/>
      </w:pPr>
      <w:r>
        <w:separator/>
      </w:r>
    </w:p>
  </w:footnote>
  <w:footnote w:type="continuationSeparator" w:id="0">
    <w:p w:rsidR="00000000" w:rsidRDefault="0037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376FA8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12D9"/>
    <w:multiLevelType w:val="hybridMultilevel"/>
    <w:tmpl w:val="AB6A6B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3000"/>
    <w:multiLevelType w:val="hybridMultilevel"/>
    <w:tmpl w:val="77B83D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1196">
    <w:abstractNumId w:val="0"/>
  </w:num>
  <w:num w:numId="2" w16cid:durableId="184493345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42447530">
    <w:abstractNumId w:val="1"/>
  </w:num>
  <w:num w:numId="4" w16cid:durableId="1659498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8"/>
    <w:rsid w:val="003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2022-05-13T19:55:00Z</dcterms:created>
  <dcterms:modified xsi:type="dcterms:W3CDTF">2022-05-13T19:55:00Z</dcterms:modified>
</cp:coreProperties>
</file>