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012"/>
        <w:gridCol w:w="2013"/>
        <w:gridCol w:w="2013"/>
        <w:gridCol w:w="2013"/>
        <w:gridCol w:w="221"/>
      </w:tblGrid>
      <w:tr w:rsidR="0000000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</w:tr>
      <w:tr w:rsidR="0000000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Santa Ana prueba exitosamente su Sirenas de Alerta</w:t>
            </w:r>
          </w:p>
          <w:p w:rsidR="00000000" w:rsidRDefault="00F31AE9">
            <w:pPr>
              <w:pStyle w:val="Prrafodelista"/>
              <w:numPr>
                <w:ilvl w:val="0"/>
                <w:numId w:val="2"/>
              </w:numPr>
              <w:spacing w:after="0" w:line="254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Actualmente el cantón de Santa Ana cuenta con 6 deslizamientos activos en Chitaría, Tapezco, Cariblanco, Monte Nube o Pabellones, Caballeriza 1 y Caballeriza 2.</w:t>
            </w:r>
          </w:p>
          <w:p w:rsidR="00000000" w:rsidRDefault="00F31AE9">
            <w:pPr>
              <w:pStyle w:val="Prrafodelista"/>
              <w:spacing w:after="0" w:line="254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000000" w:rsidRDefault="00F31AE9">
            <w:pPr>
              <w:pStyle w:val="Prrafodelista"/>
              <w:numPr>
                <w:ilvl w:val="0"/>
                <w:numId w:val="2"/>
              </w:numPr>
              <w:spacing w:after="0" w:line="254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Equipo </w:t>
            </w:r>
            <w:r>
              <w:rPr>
                <w:rFonts w:ascii="Arial" w:hAnsi="Arial" w:cs="Arial"/>
                <w:i/>
                <w:iCs/>
              </w:rPr>
              <w:t>tecnológico apoya a la vigilancia constante que se da a los deslizamientos activos.</w:t>
            </w:r>
          </w:p>
          <w:p w:rsidR="00000000" w:rsidRDefault="00F31AE9">
            <w:pPr>
              <w:spacing w:after="0" w:line="254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000000" w:rsidRDefault="00F31AE9">
            <w:pPr>
              <w:pStyle w:val="Prrafodelista"/>
              <w:numPr>
                <w:ilvl w:val="0"/>
                <w:numId w:val="2"/>
              </w:numPr>
              <w:spacing w:after="0" w:line="254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CME realiza visitas periódicas a los sitios que ya están mapeados como vulnerables.</w:t>
            </w:r>
          </w:p>
          <w:p w:rsidR="00000000" w:rsidRDefault="00F31AE9">
            <w:pPr>
              <w:pStyle w:val="Prrafodelista"/>
              <w:spacing w:after="0" w:line="254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000000" w:rsidRDefault="00F31AE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98770" cy="36017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60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31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</w:rPr>
              <w:t>San José, 07 de marzo del 2020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La población de Santa Ana </w:t>
            </w:r>
            <w:r>
              <w:rPr>
                <w:rFonts w:ascii="Arial" w:hAnsi="Arial" w:cs="Arial"/>
                <w:sz w:val="24"/>
                <w:szCs w:val="24"/>
              </w:rPr>
              <w:t>realizó el día de ayer una prueba de activación de sus sirenas de alertas con el fin de darle mantenimiento y asegurarse así, que en el momento en que se requiera, su funcionamiento sea el adecuado. Estas alarman permitirán una rápida acción de la població</w:t>
            </w:r>
            <w:r>
              <w:rPr>
                <w:rFonts w:ascii="Arial" w:hAnsi="Arial" w:cs="Arial"/>
                <w:sz w:val="24"/>
                <w:szCs w:val="24"/>
              </w:rPr>
              <w:t>n en caso de ser necesaria una evacuación preventiva.</w:t>
            </w:r>
          </w:p>
          <w:p w:rsidR="00000000" w:rsidRDefault="00F31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Sirenas están colocadas en dos puntos estratégicos como lo son Salitral, que es una comunidad de alto riesgo por deslizamientos y avalanchas de flujo de lodo producidas por el río Uruca que atravies</w:t>
            </w:r>
            <w:r>
              <w:rPr>
                <w:rFonts w:ascii="Arial" w:hAnsi="Arial" w:cs="Arial"/>
                <w:sz w:val="24"/>
                <w:szCs w:val="24"/>
              </w:rPr>
              <w:t xml:space="preserve">a todo el cantón, así como en la Cruz Roja Costarricense por encontrarse en el centro de la ciudad de Santa Ana. De esta forma la alarma tiene un alcance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en las partes altas, medias y bajas de la cuenca que pone en alerta a todos los vecinos de la zona.   </w:t>
            </w:r>
          </w:p>
          <w:p w:rsidR="00000000" w:rsidRDefault="00F31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Además, en este cantón, también se tienen instaladas estaciones meteorológicas en línea, una red de sirenas, así como un equipo de radio comunicación manejado por la Comunidad y el Comité Municipal de Emergencias (CME). Este equipo tecnológico apoya a la </w:t>
            </w:r>
            <w:r>
              <w:rPr>
                <w:rFonts w:ascii="Arial" w:hAnsi="Arial" w:cs="Arial"/>
                <w:sz w:val="24"/>
                <w:szCs w:val="24"/>
              </w:rPr>
              <w:t>vigilancia constante que se da a los deslizamientos de Tapezco, Monte Nube y Chitaría.</w:t>
            </w:r>
          </w:p>
          <w:p w:rsidR="00000000" w:rsidRDefault="00F31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 Ana cuenta con un CME muy sólido con gran experiencia en el sistema de monitoreo. Asimismo, junto a profesionales técnicos de la Comisión Nacional de Prevención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Riesgos y Atención de Emergencias (CNE) realizan visitas periódicas a los sitios que ya están mapeados como vulnerables. </w:t>
            </w:r>
          </w:p>
          <w:p w:rsidR="00000000" w:rsidRDefault="00F31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Actualmente el cantón de Santa Ana cuenta con 6 deslizamientos activos en Chitaría, Tapezco, Cariblanco, Monte Nube o Pabellones, Cab</w:t>
            </w:r>
            <w:r>
              <w:rPr>
                <w:rFonts w:ascii="Arial" w:hAnsi="Arial" w:cs="Arial"/>
                <w:sz w:val="24"/>
                <w:szCs w:val="24"/>
              </w:rPr>
              <w:t xml:space="preserve">alleriza 1 y Caballeriza 2. Todos son monitoreados por parte del CME y del equipo técnico de la CNE por medio de inspecciones y sobrevuelos a través de drones. </w:t>
            </w:r>
          </w:p>
          <w:p w:rsidR="00000000" w:rsidRDefault="00F31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proyecto forma parte de un programa nacional e integral de vigilancia y monitoreo a lo lar</w:t>
            </w:r>
            <w:r>
              <w:rPr>
                <w:rFonts w:ascii="Arial" w:hAnsi="Arial" w:cs="Arial"/>
                <w:sz w:val="24"/>
                <w:szCs w:val="24"/>
              </w:rPr>
              <w:t xml:space="preserve">go del territorio nacional, en los sitios sensibles a ocurrencias de eventos que puedan desencadenar desastres. </w:t>
            </w:r>
          </w:p>
          <w:p w:rsidR="00000000" w:rsidRDefault="00F31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parte de este acompañamiento, la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CNE lleva a cabo inspecciones técnicas a diferentes zonas, sobre todo antes de iniciar la época lluviosa.</w:t>
            </w:r>
            <w:r>
              <w:rPr>
                <w:rFonts w:ascii="Arial" w:hAnsi="Arial" w:cs="Arial"/>
                <w:sz w:val="24"/>
                <w:szCs w:val="24"/>
              </w:rPr>
              <w:t xml:space="preserve"> Esta labor se acompaña del monitoreo que realizan los CME que permite la toma de decisiones preventivas que favorezcan a las poblaciones.</w:t>
            </w:r>
          </w:p>
          <w:p w:rsidR="00000000" w:rsidRDefault="00F31AE9">
            <w:pPr>
              <w:jc w:val="both"/>
              <w:rPr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labor de vigilancia por deslizamientos, se realizan también en cantones como Desamparados, Alajuelita, Aserrí, E</w:t>
            </w:r>
            <w:r>
              <w:rPr>
                <w:rFonts w:ascii="Arial" w:hAnsi="Arial" w:cs="Arial"/>
                <w:sz w:val="24"/>
                <w:szCs w:val="24"/>
              </w:rPr>
              <w:t>scazú, Acosta, Puriscal, la zona de Los Santos, Pérez Zeledón, Golfito, entre otros.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</w:tr>
      <w:tr w:rsidR="0000000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</w:tr>
      <w:tr w:rsidR="0000000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AE9">
            <w:pPr>
              <w:jc w:val="both"/>
              <w:rPr>
                <w:lang w:val="es-ES"/>
              </w:rPr>
            </w:pPr>
          </w:p>
        </w:tc>
      </w:tr>
    </w:tbl>
    <w:p w:rsidR="00000000" w:rsidRDefault="00F31AE9">
      <w:pPr>
        <w:jc w:val="both"/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793C"/>
    <w:multiLevelType w:val="hybridMultilevel"/>
    <w:tmpl w:val="71286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03783">
    <w:abstractNumId w:val="0"/>
  </w:num>
  <w:num w:numId="2" w16cid:durableId="19272266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E9"/>
    <w:rsid w:val="00F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2022-05-13T19:53:00Z</dcterms:created>
  <dcterms:modified xsi:type="dcterms:W3CDTF">2022-05-13T19:53:00Z</dcterms:modified>
</cp:coreProperties>
</file>