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21"/>
        <w:gridCol w:w="978"/>
        <w:gridCol w:w="3112"/>
        <w:gridCol w:w="3076"/>
        <w:gridCol w:w="501"/>
        <w:gridCol w:w="220"/>
      </w:tblGrid>
      <w:tr w:rsidR="00000000">
        <w:tc>
          <w:tcPr>
            <w:tcW w:w="270" w:type="dxa"/>
            <w:tcBorders>
              <w:top w:val="single" w:sz="4" w:space="0" w:color="auto"/>
              <w:left w:val="single" w:sz="4" w:space="0" w:color="auto"/>
              <w:bottom w:val="single" w:sz="4" w:space="0" w:color="auto"/>
              <w:right w:val="single" w:sz="4" w:space="0" w:color="auto"/>
            </w:tcBorders>
          </w:tcPr>
          <w:p w:rsidR="00000000" w:rsidRDefault="00561F59">
            <w:pPr>
              <w:spacing w:after="0" w:line="240" w:lineRule="auto"/>
              <w:jc w:val="center"/>
              <w:rPr>
                <w:bCs/>
                <w:color w:val="000000"/>
                <w:sz w:val="40"/>
                <w:szCs w:val="40"/>
                <w:lang w:eastAsia="es-CR"/>
              </w:rPr>
            </w:pPr>
          </w:p>
        </w:tc>
        <w:tc>
          <w:tcPr>
            <w:tcW w:w="7569" w:type="dxa"/>
            <w:gridSpan w:val="4"/>
            <w:tcBorders>
              <w:top w:val="single" w:sz="4" w:space="0" w:color="auto"/>
              <w:left w:val="single" w:sz="4" w:space="0" w:color="auto"/>
              <w:bottom w:val="single" w:sz="4" w:space="0" w:color="auto"/>
              <w:right w:val="single" w:sz="4" w:space="0" w:color="auto"/>
            </w:tcBorders>
          </w:tcPr>
          <w:p w:rsidR="00000000" w:rsidRDefault="00561F59">
            <w:pPr>
              <w:shd w:val="clear" w:color="auto" w:fill="FFFFFF"/>
              <w:spacing w:before="100" w:beforeAutospacing="1" w:after="100" w:afterAutospacing="1" w:line="240" w:lineRule="auto"/>
              <w:jc w:val="center"/>
              <w:outlineLvl w:val="0"/>
              <w:rPr>
                <w:rFonts w:ascii="Arial" w:eastAsia="Times New Roman" w:hAnsi="Arial" w:cs="Arial"/>
                <w:b/>
                <w:bCs/>
                <w:color w:val="2E2A2B"/>
                <w:kern w:val="36"/>
                <w:sz w:val="32"/>
                <w:szCs w:val="32"/>
                <w:lang w:eastAsia="es-CR"/>
              </w:rPr>
            </w:pPr>
          </w:p>
          <w:p w:rsidR="00000000" w:rsidRDefault="00561F59">
            <w:pPr>
              <w:shd w:val="clear" w:color="auto" w:fill="FFFFFF"/>
              <w:spacing w:before="100" w:beforeAutospacing="1" w:after="100" w:afterAutospacing="1" w:line="240" w:lineRule="auto"/>
              <w:jc w:val="center"/>
              <w:outlineLvl w:val="0"/>
              <w:rPr>
                <w:rFonts w:ascii="Arial" w:eastAsia="Times New Roman" w:hAnsi="Arial" w:cs="Arial"/>
                <w:b/>
                <w:bCs/>
                <w:color w:val="2E2A2B"/>
                <w:kern w:val="36"/>
                <w:sz w:val="40"/>
                <w:szCs w:val="40"/>
                <w:lang w:eastAsia="es-CR"/>
              </w:rPr>
            </w:pPr>
            <w:r>
              <w:rPr>
                <w:rFonts w:ascii="Arial" w:eastAsia="Times New Roman" w:hAnsi="Arial" w:cs="Arial"/>
                <w:b/>
                <w:bCs/>
                <w:color w:val="2E2A2B"/>
                <w:kern w:val="36"/>
                <w:sz w:val="40"/>
                <w:szCs w:val="40"/>
                <w:lang w:eastAsia="es-CR"/>
              </w:rPr>
              <w:t>Reporte de acciones de la CNE durante el 2019</w:t>
            </w:r>
          </w:p>
          <w:p w:rsidR="00000000" w:rsidRDefault="00561F59">
            <w:pPr>
              <w:pStyle w:val="Prrafodelista"/>
              <w:numPr>
                <w:ilvl w:val="0"/>
                <w:numId w:val="2"/>
              </w:numPr>
              <w:shd w:val="clear" w:color="auto" w:fill="FFFFFF"/>
              <w:spacing w:before="100" w:beforeAutospacing="1" w:after="100" w:afterAutospacing="1" w:line="240" w:lineRule="auto"/>
              <w:jc w:val="both"/>
              <w:outlineLvl w:val="0"/>
              <w:rPr>
                <w:rFonts w:ascii="Arial" w:eastAsia="Times New Roman" w:hAnsi="Arial" w:cs="Arial"/>
                <w:color w:val="2E2A2B"/>
                <w:kern w:val="36"/>
                <w:lang w:eastAsia="es-CR"/>
              </w:rPr>
            </w:pPr>
            <w:r>
              <w:rPr>
                <w:rFonts w:ascii="Arial" w:eastAsia="Times New Roman" w:hAnsi="Arial" w:cs="Arial"/>
                <w:color w:val="2E2A2B"/>
                <w:kern w:val="36"/>
                <w:lang w:eastAsia="es-CR"/>
              </w:rPr>
              <w:t>Por primera vez, Costa Rica realiza con éxito Primer Simulacro Nacional de Evacuación, con más de un millón doscientas mil personas participantes</w:t>
            </w:r>
          </w:p>
          <w:p w:rsidR="00000000" w:rsidRDefault="00561F59">
            <w:pPr>
              <w:pStyle w:val="Prrafodelista"/>
              <w:shd w:val="clear" w:color="auto" w:fill="FFFFFF"/>
              <w:spacing w:before="100" w:beforeAutospacing="1" w:after="100" w:afterAutospacing="1" w:line="240" w:lineRule="auto"/>
              <w:jc w:val="both"/>
              <w:outlineLvl w:val="0"/>
              <w:rPr>
                <w:rFonts w:ascii="Arial" w:eastAsia="Times New Roman" w:hAnsi="Arial" w:cs="Arial"/>
                <w:color w:val="2E2A2B"/>
                <w:kern w:val="36"/>
                <w:lang w:eastAsia="es-CR"/>
              </w:rPr>
            </w:pPr>
          </w:p>
          <w:p w:rsidR="00000000" w:rsidRDefault="00561F59">
            <w:pPr>
              <w:pStyle w:val="Prrafodelista"/>
              <w:numPr>
                <w:ilvl w:val="0"/>
                <w:numId w:val="2"/>
              </w:numPr>
              <w:shd w:val="clear" w:color="auto" w:fill="FFFFFF"/>
              <w:spacing w:before="100" w:beforeAutospacing="1" w:after="100" w:afterAutospacing="1" w:line="240" w:lineRule="auto"/>
              <w:jc w:val="both"/>
              <w:outlineLvl w:val="0"/>
              <w:rPr>
                <w:rFonts w:ascii="Arial" w:eastAsia="Times New Roman" w:hAnsi="Arial" w:cs="Arial"/>
                <w:color w:val="2E2A2B"/>
                <w:kern w:val="36"/>
                <w:lang w:eastAsia="es-CR"/>
              </w:rPr>
            </w:pPr>
            <w:r>
              <w:rPr>
                <w:rFonts w:ascii="Arial" w:eastAsia="Times New Roman" w:hAnsi="Arial" w:cs="Arial"/>
                <w:color w:val="2E2A2B"/>
                <w:kern w:val="36"/>
                <w:lang w:eastAsia="es-CR"/>
              </w:rPr>
              <w:t xml:space="preserve">La institución invirtió más </w:t>
            </w:r>
            <w:r>
              <w:rPr>
                <w:rFonts w:ascii="Arial" w:eastAsia="Times New Roman" w:hAnsi="Arial" w:cs="Arial"/>
                <w:b/>
                <w:bCs/>
                <w:color w:val="2E2A2B"/>
                <w:kern w:val="36"/>
                <w:lang w:eastAsia="es-CR"/>
              </w:rPr>
              <w:t xml:space="preserve">242 </w:t>
            </w:r>
            <w:r>
              <w:rPr>
                <w:rFonts w:ascii="Arial" w:eastAsia="Times New Roman" w:hAnsi="Arial" w:cs="Arial"/>
                <w:b/>
                <w:bCs/>
                <w:color w:val="2E2A2B"/>
                <w:kern w:val="36"/>
                <w:lang w:eastAsia="es-CR"/>
              </w:rPr>
              <w:t>millones de colones</w:t>
            </w:r>
            <w:r>
              <w:rPr>
                <w:rFonts w:ascii="Arial" w:eastAsia="Times New Roman" w:hAnsi="Arial" w:cs="Arial"/>
                <w:color w:val="2E2A2B"/>
                <w:kern w:val="36"/>
                <w:lang w:eastAsia="es-CR"/>
              </w:rPr>
              <w:t xml:space="preserve"> en el envío de asistencia humanitaria a todo el paí</w:t>
            </w:r>
            <w:r>
              <w:rPr>
                <w:rFonts w:ascii="Arial" w:eastAsia="Times New Roman" w:hAnsi="Arial" w:cs="Arial"/>
                <w:kern w:val="36"/>
                <w:lang w:eastAsia="es-CR"/>
              </w:rPr>
              <w:t>s para beneficiar a casi 25 mil personas</w:t>
            </w:r>
          </w:p>
          <w:p w:rsidR="00000000" w:rsidRDefault="00561F59">
            <w:pPr>
              <w:pStyle w:val="Prrafodelista"/>
              <w:rPr>
                <w:rFonts w:ascii="Arial" w:eastAsia="Times New Roman" w:hAnsi="Arial" w:cs="Arial"/>
                <w:color w:val="2E2A2B"/>
                <w:kern w:val="36"/>
                <w:lang w:eastAsia="es-CR"/>
              </w:rPr>
            </w:pPr>
          </w:p>
          <w:p w:rsidR="00000000" w:rsidRDefault="00561F59">
            <w:pPr>
              <w:pStyle w:val="Prrafodelista"/>
              <w:shd w:val="clear" w:color="auto" w:fill="FFFFFF"/>
              <w:spacing w:before="100" w:beforeAutospacing="1" w:after="100" w:afterAutospacing="1" w:line="240" w:lineRule="auto"/>
              <w:jc w:val="both"/>
              <w:outlineLvl w:val="0"/>
              <w:rPr>
                <w:rFonts w:ascii="Arial" w:eastAsia="Times New Roman" w:hAnsi="Arial" w:cs="Arial"/>
                <w:color w:val="2E2A2B"/>
                <w:kern w:val="36"/>
                <w:lang w:eastAsia="es-CR"/>
              </w:rPr>
            </w:pPr>
          </w:p>
          <w:p w:rsidR="00000000" w:rsidRDefault="00561F59">
            <w:pPr>
              <w:pStyle w:val="Prrafodelista"/>
              <w:numPr>
                <w:ilvl w:val="0"/>
                <w:numId w:val="2"/>
              </w:numPr>
              <w:jc w:val="both"/>
              <w:rPr>
                <w:rFonts w:ascii="Arial" w:hAnsi="Arial" w:cs="Arial"/>
              </w:rPr>
            </w:pPr>
            <w:r>
              <w:rPr>
                <w:rFonts w:ascii="Arial" w:hAnsi="Arial" w:cs="Arial"/>
              </w:rPr>
              <w:t xml:space="preserve">Se aprobaron más de </w:t>
            </w:r>
            <w:r>
              <w:rPr>
                <w:rFonts w:ascii="Arial" w:hAnsi="Arial" w:cs="Arial"/>
                <w:b/>
                <w:bCs/>
              </w:rPr>
              <w:t>₵</w:t>
            </w:r>
            <w:r>
              <w:rPr>
                <w:rFonts w:ascii="Arial" w:hAnsi="Arial" w:cs="Arial"/>
                <w:b/>
                <w:bCs/>
              </w:rPr>
              <w:t xml:space="preserve">45 000 000 000 </w:t>
            </w:r>
            <w:r>
              <w:rPr>
                <w:rFonts w:ascii="Arial" w:hAnsi="Arial" w:cs="Arial"/>
              </w:rPr>
              <w:t>para la reconstrucción de obras como caminos, puentes, acueductos, o diques que resultados afectados por e</w:t>
            </w:r>
            <w:r>
              <w:rPr>
                <w:rFonts w:ascii="Arial" w:hAnsi="Arial" w:cs="Arial"/>
              </w:rPr>
              <w:t xml:space="preserve">mergencias lo que beneficiará a más de </w:t>
            </w:r>
            <w:r>
              <w:rPr>
                <w:rFonts w:ascii="Arial" w:hAnsi="Arial" w:cs="Arial"/>
                <w:b/>
                <w:bCs/>
              </w:rPr>
              <w:t>730 mil personas</w:t>
            </w:r>
          </w:p>
          <w:p w:rsidR="00000000" w:rsidRDefault="00561F59">
            <w:pPr>
              <w:pStyle w:val="Prrafodelista"/>
              <w:jc w:val="both"/>
              <w:rPr>
                <w:rFonts w:ascii="Arial" w:hAnsi="Arial" w:cs="Arial"/>
              </w:rPr>
            </w:pPr>
          </w:p>
          <w:p w:rsidR="00000000" w:rsidRDefault="00561F59">
            <w:pPr>
              <w:pStyle w:val="Prrafodelista"/>
              <w:numPr>
                <w:ilvl w:val="0"/>
                <w:numId w:val="2"/>
              </w:numPr>
              <w:shd w:val="clear" w:color="auto" w:fill="FFFFFF"/>
              <w:spacing w:before="100" w:beforeAutospacing="1" w:after="100" w:afterAutospacing="1" w:line="240" w:lineRule="auto"/>
              <w:jc w:val="both"/>
              <w:outlineLvl w:val="0"/>
              <w:rPr>
                <w:rFonts w:ascii="Arial" w:eastAsia="Times New Roman" w:hAnsi="Arial" w:cs="Arial"/>
                <w:color w:val="2E2A2B"/>
                <w:kern w:val="36"/>
                <w:lang w:eastAsia="es-CR"/>
              </w:rPr>
            </w:pPr>
            <w:r>
              <w:rPr>
                <w:rFonts w:ascii="Arial" w:hAnsi="Arial" w:cs="Arial"/>
              </w:rPr>
              <w:t xml:space="preserve">Inundaciones, deslizamientos y valoraciones de riesgos ante primeros impactos fueron recurrentes durante el año, al menos </w:t>
            </w:r>
            <w:r>
              <w:rPr>
                <w:rFonts w:ascii="Arial" w:hAnsi="Arial" w:cs="Arial"/>
                <w:b/>
                <w:bCs/>
              </w:rPr>
              <w:t xml:space="preserve">nueve casos diarios </w:t>
            </w:r>
            <w:r>
              <w:rPr>
                <w:rFonts w:ascii="Arial" w:hAnsi="Arial" w:cs="Arial"/>
              </w:rPr>
              <w:t>se registraron en la CNE</w:t>
            </w:r>
          </w:p>
          <w:p w:rsidR="00000000" w:rsidRDefault="00561F59">
            <w:pPr>
              <w:pStyle w:val="Prrafodelista"/>
              <w:rPr>
                <w:rFonts w:ascii="Arial" w:eastAsia="Times New Roman" w:hAnsi="Arial" w:cs="Arial"/>
                <w:color w:val="2E2A2B"/>
                <w:kern w:val="36"/>
                <w:lang w:eastAsia="es-CR"/>
              </w:rPr>
            </w:pPr>
          </w:p>
          <w:p w:rsidR="00000000" w:rsidRDefault="00561F59">
            <w:pPr>
              <w:pStyle w:val="Prrafodelista"/>
              <w:shd w:val="clear" w:color="auto" w:fill="FFFFFF"/>
              <w:spacing w:before="100" w:beforeAutospacing="1" w:after="100" w:afterAutospacing="1" w:line="240" w:lineRule="auto"/>
              <w:jc w:val="both"/>
              <w:outlineLvl w:val="0"/>
              <w:rPr>
                <w:rFonts w:ascii="Arial" w:eastAsia="Times New Roman" w:hAnsi="Arial" w:cs="Arial"/>
                <w:color w:val="2E2A2B"/>
                <w:kern w:val="36"/>
                <w:lang w:eastAsia="es-CR"/>
              </w:rPr>
            </w:pPr>
          </w:p>
          <w:p w:rsidR="00000000" w:rsidRDefault="00561F59">
            <w:pPr>
              <w:jc w:val="both"/>
              <w:rPr>
                <w:rFonts w:ascii="Arial" w:hAnsi="Arial" w:cs="Arial"/>
              </w:rPr>
            </w:pPr>
            <w:r>
              <w:rPr>
                <w:rFonts w:ascii="Arial" w:hAnsi="Arial" w:cs="Arial"/>
                <w:b/>
                <w:bCs/>
                <w:i/>
                <w:iCs/>
                <w:sz w:val="20"/>
                <w:szCs w:val="20"/>
              </w:rPr>
              <w:t>San José, lunes 30 de diciembre, 2019</w:t>
            </w:r>
            <w:r>
              <w:rPr>
                <w:rFonts w:ascii="Arial" w:hAnsi="Arial" w:cs="Arial"/>
              </w:rPr>
              <w:t xml:space="preserve">. La Comisión Nacional de Prevención de Riesgos y Atención de Emergencias (CNE) atendió </w:t>
            </w:r>
            <w:r>
              <w:rPr>
                <w:rFonts w:ascii="Arial" w:hAnsi="Arial" w:cs="Arial"/>
                <w:b/>
                <w:bCs/>
              </w:rPr>
              <w:t>3482 reportes de emergencias</w:t>
            </w:r>
            <w:r>
              <w:rPr>
                <w:rFonts w:ascii="Arial" w:hAnsi="Arial" w:cs="Arial"/>
              </w:rPr>
              <w:t xml:space="preserve"> en todo el país durante el 2019 y realizó </w:t>
            </w:r>
            <w:r>
              <w:rPr>
                <w:rFonts w:ascii="Arial" w:hAnsi="Arial" w:cs="Arial"/>
                <w:b/>
                <w:bCs/>
              </w:rPr>
              <w:t xml:space="preserve">1145 </w:t>
            </w:r>
            <w:r>
              <w:rPr>
                <w:rFonts w:ascii="Arial" w:hAnsi="Arial" w:cs="Arial"/>
              </w:rPr>
              <w:t>inspecciones para determinar posibles riesgos a la pobl</w:t>
            </w:r>
            <w:r>
              <w:rPr>
                <w:rFonts w:ascii="Arial" w:hAnsi="Arial" w:cs="Arial"/>
              </w:rPr>
              <w:t>ación.</w:t>
            </w:r>
          </w:p>
          <w:p w:rsidR="00000000" w:rsidRDefault="00561F59">
            <w:pPr>
              <w:jc w:val="center"/>
              <w:rPr>
                <w:rFonts w:ascii="Arial" w:hAnsi="Arial" w:cs="Arial"/>
              </w:rPr>
            </w:pPr>
            <w:r>
              <w:rPr>
                <w:rFonts w:ascii="Arial" w:hAnsi="Arial" w:cs="Arial"/>
                <w:noProof/>
              </w:rPr>
              <w:drawing>
                <wp:inline distT="0" distB="0" distL="0" distR="0">
                  <wp:extent cx="6265545" cy="2313940"/>
                  <wp:effectExtent l="0" t="0" r="1905" b="0"/>
                  <wp:docPr id="1" name="Imagen 9"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Imagen que contiene captura de pantalla&#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65545" cy="2313940"/>
                          </a:xfrm>
                          <a:prstGeom prst="rect">
                            <a:avLst/>
                          </a:prstGeom>
                          <a:noFill/>
                          <a:ln>
                            <a:noFill/>
                          </a:ln>
                        </pic:spPr>
                      </pic:pic>
                    </a:graphicData>
                  </a:graphic>
                </wp:inline>
              </w:drawing>
            </w:r>
          </w:p>
          <w:p w:rsidR="00000000" w:rsidRDefault="00561F59">
            <w:pPr>
              <w:jc w:val="both"/>
              <w:rPr>
                <w:rFonts w:ascii="Arial" w:hAnsi="Arial" w:cs="Arial"/>
                <w:color w:val="000000" w:themeColor="text1"/>
              </w:rPr>
            </w:pPr>
            <w:r>
              <w:rPr>
                <w:rFonts w:ascii="Arial" w:hAnsi="Arial" w:cs="Arial"/>
                <w:color w:val="000000" w:themeColor="text1"/>
              </w:rPr>
              <w:t xml:space="preserve">Entre los casos atendidos destacan más de </w:t>
            </w:r>
            <w:r>
              <w:rPr>
                <w:rFonts w:ascii="Arial" w:hAnsi="Arial" w:cs="Arial"/>
                <w:b/>
                <w:bCs/>
                <w:color w:val="000000" w:themeColor="text1"/>
              </w:rPr>
              <w:t>1400</w:t>
            </w:r>
            <w:r>
              <w:rPr>
                <w:rFonts w:ascii="Arial" w:hAnsi="Arial" w:cs="Arial"/>
                <w:color w:val="000000" w:themeColor="text1"/>
              </w:rPr>
              <w:t xml:space="preserve"> reportes por inundaciones, más de </w:t>
            </w:r>
            <w:r>
              <w:rPr>
                <w:rFonts w:ascii="Arial" w:hAnsi="Arial" w:cs="Arial"/>
                <w:b/>
                <w:bCs/>
                <w:color w:val="000000" w:themeColor="text1"/>
              </w:rPr>
              <w:t>400</w:t>
            </w:r>
            <w:r>
              <w:rPr>
                <w:rFonts w:ascii="Arial" w:hAnsi="Arial" w:cs="Arial"/>
                <w:color w:val="000000" w:themeColor="text1"/>
              </w:rPr>
              <w:t xml:space="preserve"> por riesgo de deslizamiento y más de </w:t>
            </w:r>
            <w:r>
              <w:rPr>
                <w:rFonts w:ascii="Arial" w:hAnsi="Arial" w:cs="Arial"/>
                <w:b/>
                <w:bCs/>
                <w:color w:val="000000" w:themeColor="text1"/>
              </w:rPr>
              <w:t>200</w:t>
            </w:r>
            <w:r>
              <w:rPr>
                <w:rFonts w:ascii="Arial" w:hAnsi="Arial" w:cs="Arial"/>
                <w:color w:val="000000" w:themeColor="text1"/>
              </w:rPr>
              <w:t xml:space="preserve"> por fuertes vientos. </w:t>
            </w:r>
            <w:r>
              <w:rPr>
                <w:rFonts w:ascii="Arial" w:hAnsi="Arial" w:cs="Arial"/>
                <w:color w:val="000000" w:themeColor="text1"/>
              </w:rPr>
              <w:lastRenderedPageBreak/>
              <w:t xml:space="preserve">Además, fue necesario movilizar más de </w:t>
            </w:r>
            <w:r>
              <w:rPr>
                <w:rFonts w:ascii="Arial" w:hAnsi="Arial" w:cs="Arial"/>
                <w:b/>
                <w:bCs/>
                <w:color w:val="000000" w:themeColor="text1"/>
              </w:rPr>
              <w:t xml:space="preserve">5000 </w:t>
            </w:r>
            <w:r>
              <w:rPr>
                <w:rFonts w:ascii="Arial" w:hAnsi="Arial" w:cs="Arial"/>
                <w:color w:val="000000" w:themeColor="text1"/>
              </w:rPr>
              <w:t xml:space="preserve">raciones de alimentos y más de </w:t>
            </w:r>
            <w:r>
              <w:rPr>
                <w:rFonts w:ascii="Arial" w:hAnsi="Arial" w:cs="Arial"/>
                <w:b/>
                <w:bCs/>
                <w:color w:val="000000" w:themeColor="text1"/>
              </w:rPr>
              <w:t>4000</w:t>
            </w:r>
            <w:r>
              <w:rPr>
                <w:rFonts w:ascii="Arial" w:hAnsi="Arial" w:cs="Arial"/>
                <w:color w:val="000000" w:themeColor="text1"/>
              </w:rPr>
              <w:t xml:space="preserve"> colchonetas a comunidades con algún tipo de afectación.</w:t>
            </w:r>
          </w:p>
          <w:p w:rsidR="00000000" w:rsidRDefault="00561F59">
            <w:pPr>
              <w:shd w:val="clear" w:color="auto" w:fill="FFFFFF"/>
              <w:spacing w:before="100" w:beforeAutospacing="1" w:after="100" w:afterAutospacing="1"/>
              <w:jc w:val="both"/>
              <w:outlineLvl w:val="0"/>
              <w:rPr>
                <w:rFonts w:ascii="Arial" w:eastAsia="Times New Roman" w:hAnsi="Arial" w:cs="Arial"/>
                <w:color w:val="2E2A2B"/>
                <w:kern w:val="36"/>
                <w:lang w:eastAsia="es-CR"/>
              </w:rPr>
            </w:pPr>
            <w:r>
              <w:rPr>
                <w:rFonts w:ascii="Arial" w:eastAsia="Times New Roman" w:hAnsi="Arial" w:cs="Arial"/>
                <w:color w:val="2E2A2B"/>
                <w:kern w:val="36"/>
                <w:lang w:eastAsia="es-CR"/>
              </w:rPr>
              <w:t xml:space="preserve">En total, se invirtió más de </w:t>
            </w:r>
            <w:r>
              <w:rPr>
                <w:rFonts w:ascii="Arial" w:eastAsia="Times New Roman" w:hAnsi="Arial" w:cs="Arial"/>
                <w:b/>
                <w:bCs/>
                <w:color w:val="2E2A2B"/>
                <w:kern w:val="36"/>
                <w:lang w:eastAsia="es-CR"/>
              </w:rPr>
              <w:t>242 millones de colones</w:t>
            </w:r>
            <w:r>
              <w:rPr>
                <w:rFonts w:ascii="Arial" w:eastAsia="Times New Roman" w:hAnsi="Arial" w:cs="Arial"/>
                <w:color w:val="2E2A2B"/>
                <w:kern w:val="36"/>
                <w:lang w:eastAsia="es-CR"/>
              </w:rPr>
              <w:t xml:space="preserve"> en asistencia humanitaria para beneficiar casi </w:t>
            </w:r>
            <w:r>
              <w:rPr>
                <w:rFonts w:ascii="Arial" w:eastAsia="Times New Roman" w:hAnsi="Arial" w:cs="Arial"/>
                <w:b/>
                <w:bCs/>
                <w:color w:val="2E2A2B"/>
                <w:kern w:val="36"/>
                <w:lang w:eastAsia="es-CR"/>
              </w:rPr>
              <w:t>25 000 personas,</w:t>
            </w:r>
            <w:r>
              <w:rPr>
                <w:rFonts w:ascii="Arial" w:eastAsia="Times New Roman" w:hAnsi="Arial" w:cs="Arial"/>
                <w:color w:val="2E2A2B"/>
                <w:kern w:val="36"/>
                <w:lang w:eastAsia="es-CR"/>
              </w:rPr>
              <w:t xml:space="preserve"> además, de adquirir equipos y suministros para </w:t>
            </w:r>
            <w:r>
              <w:rPr>
                <w:rFonts w:ascii="Arial" w:eastAsia="Times New Roman" w:hAnsi="Arial" w:cs="Arial"/>
                <w:color w:val="2E2A2B"/>
                <w:kern w:val="36"/>
                <w:lang w:eastAsia="es-CR"/>
              </w:rPr>
              <w:t xml:space="preserve">lugares estratégicos en condiciones de riesgo y </w:t>
            </w:r>
            <w:r>
              <w:rPr>
                <w:noProof/>
              </w:rPr>
              <w:drawing>
                <wp:anchor distT="0" distB="0" distL="114300" distR="114300" simplePos="0" relativeHeight="251661312" behindDoc="0" locked="0" layoutInCell="1" allowOverlap="1">
                  <wp:simplePos x="0" y="0"/>
                  <wp:positionH relativeFrom="column">
                    <wp:posOffset>-44450</wp:posOffset>
                  </wp:positionH>
                  <wp:positionV relativeFrom="paragraph">
                    <wp:posOffset>513080</wp:posOffset>
                  </wp:positionV>
                  <wp:extent cx="2371725" cy="3162300"/>
                  <wp:effectExtent l="0" t="0" r="9525"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1725" cy="31623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2E2A2B"/>
                <w:kern w:val="36"/>
                <w:lang w:eastAsia="es-CR"/>
              </w:rPr>
              <w:t>el reabastecimiento de bodegas regionales, municipales y comunales.</w:t>
            </w:r>
          </w:p>
          <w:p w:rsidR="00000000" w:rsidRDefault="00561F59">
            <w:pPr>
              <w:jc w:val="both"/>
              <w:rPr>
                <w:rFonts w:ascii="Arial" w:hAnsi="Arial" w:cs="Arial"/>
              </w:rPr>
            </w:pPr>
            <w:r>
              <w:rPr>
                <w:rFonts w:ascii="Arial" w:hAnsi="Arial" w:cs="Arial"/>
              </w:rPr>
              <w:t xml:space="preserve">A lo largo del año, fue necesaria la declaratoria de </w:t>
            </w:r>
            <w:r>
              <w:rPr>
                <w:rFonts w:ascii="Arial" w:hAnsi="Arial" w:cs="Arial"/>
                <w:b/>
                <w:bCs/>
              </w:rPr>
              <w:t>46 alertas</w:t>
            </w:r>
            <w:r>
              <w:rPr>
                <w:rFonts w:ascii="Arial" w:hAnsi="Arial" w:cs="Arial"/>
              </w:rPr>
              <w:t xml:space="preserve"> (verdes y amarillas) para informar a la población de eventos climatológicos</w:t>
            </w:r>
            <w:r>
              <w:rPr>
                <w:rFonts w:ascii="Arial" w:hAnsi="Arial" w:cs="Arial"/>
              </w:rPr>
              <w:t>, orientar la respuesta institucional y la debida articulación con los miembros del Sistema Nacional de Gestión de Riesgo (SNGR), los comités Municipales y Comunales de Emergencia.</w:t>
            </w:r>
          </w:p>
          <w:p w:rsidR="00000000" w:rsidRDefault="00561F59">
            <w:pPr>
              <w:jc w:val="both"/>
              <w:rPr>
                <w:rFonts w:ascii="Arial" w:hAnsi="Arial" w:cs="Arial"/>
              </w:rPr>
            </w:pPr>
            <w:r>
              <w:rPr>
                <w:rFonts w:ascii="Arial" w:hAnsi="Arial" w:cs="Arial"/>
              </w:rPr>
              <w:t>Sobresale la declaratoria de alerta por el paso de más de 47 mil jóvenes po</w:t>
            </w:r>
            <w:r>
              <w:rPr>
                <w:rFonts w:ascii="Arial" w:hAnsi="Arial" w:cs="Arial"/>
              </w:rPr>
              <w:t>r suelo costarricense que se dirigían a la Jornada Mundial de la Juventud en Panamá.</w:t>
            </w:r>
          </w:p>
          <w:p w:rsidR="00000000" w:rsidRDefault="00561F59">
            <w:pPr>
              <w:jc w:val="both"/>
              <w:rPr>
                <w:rFonts w:ascii="Arial" w:hAnsi="Arial" w:cs="Arial"/>
                <w:b/>
                <w:bCs/>
                <w:i/>
                <w:iCs/>
                <w:color w:val="000000" w:themeColor="text1"/>
                <w:u w:val="single"/>
              </w:rPr>
            </w:pPr>
            <w:r>
              <w:rPr>
                <w:rFonts w:ascii="Arial" w:hAnsi="Arial" w:cs="Arial"/>
                <w:b/>
                <w:bCs/>
                <w:i/>
                <w:iCs/>
                <w:color w:val="000000" w:themeColor="text1"/>
                <w:u w:val="single"/>
              </w:rPr>
              <w:t>Inspecciones realizadas</w:t>
            </w:r>
          </w:p>
          <w:p w:rsidR="00000000" w:rsidRDefault="00561F59">
            <w:pPr>
              <w:jc w:val="both"/>
              <w:rPr>
                <w:rFonts w:ascii="Arial" w:hAnsi="Arial" w:cs="Arial"/>
                <w:color w:val="000000" w:themeColor="text1"/>
              </w:rPr>
            </w:pPr>
            <w:r>
              <w:rPr>
                <w:rFonts w:ascii="Arial" w:hAnsi="Arial" w:cs="Arial"/>
                <w:color w:val="000000" w:themeColor="text1"/>
              </w:rPr>
              <w:t xml:space="preserve">En el transcurso del año, se realizaron </w:t>
            </w:r>
            <w:r>
              <w:rPr>
                <w:rFonts w:ascii="Arial" w:hAnsi="Arial" w:cs="Arial"/>
                <w:b/>
                <w:bCs/>
                <w:color w:val="000000" w:themeColor="text1"/>
              </w:rPr>
              <w:t>1145 inspecciones</w:t>
            </w:r>
            <w:r>
              <w:rPr>
                <w:rFonts w:ascii="Arial" w:hAnsi="Arial" w:cs="Arial"/>
                <w:color w:val="000000" w:themeColor="text1"/>
              </w:rPr>
              <w:t xml:space="preserve"> en todo el territorio costarricense para evaluar condiciones de riesgo. La mayoría de los</w:t>
            </w:r>
            <w:r>
              <w:rPr>
                <w:rFonts w:ascii="Arial" w:hAnsi="Arial" w:cs="Arial"/>
                <w:color w:val="000000" w:themeColor="text1"/>
              </w:rPr>
              <w:t xml:space="preserve"> casos obedecen a problemas de inestabilidad de laderas (deslizamientos) y erosión. </w:t>
            </w:r>
          </w:p>
          <w:p w:rsidR="00000000" w:rsidRDefault="00561F59">
            <w:pPr>
              <w:jc w:val="both"/>
              <w:rPr>
                <w:rFonts w:ascii="Arial" w:hAnsi="Arial" w:cs="Arial"/>
              </w:rPr>
            </w:pPr>
            <w:r>
              <w:rPr>
                <w:rFonts w:ascii="Arial" w:hAnsi="Arial" w:cs="Arial"/>
              </w:rPr>
              <w:t xml:space="preserve">Los cantones con mayor cantidad de solicitudes de inspecciones fueron: </w:t>
            </w:r>
            <w:r>
              <w:rPr>
                <w:rFonts w:ascii="Arial" w:hAnsi="Arial" w:cs="Arial"/>
              </w:rPr>
              <w:t>Desamparados Turrialba, Heredia, Liberia, Alajuela, Upala y Osa.</w:t>
            </w:r>
          </w:p>
          <w:p w:rsidR="00000000" w:rsidRDefault="00561F59">
            <w:pPr>
              <w:jc w:val="both"/>
              <w:rPr>
                <w:rFonts w:ascii="Arial" w:hAnsi="Arial" w:cs="Arial"/>
              </w:rPr>
            </w:pPr>
            <w:r>
              <w:rPr>
                <w:rFonts w:ascii="Arial" w:hAnsi="Arial" w:cs="Arial"/>
              </w:rPr>
              <w:t>Además, se trabajó en la actualización del peligro volcánico por la actividad presentada en el volcán Poás. Se realizó un estudio de estabilidad de laderas del deslizamiento Paraíso, Chánguen</w:t>
            </w:r>
            <w:r>
              <w:rPr>
                <w:rFonts w:ascii="Arial" w:hAnsi="Arial" w:cs="Arial"/>
              </w:rPr>
              <w:t>a, Buenos Aires.</w:t>
            </w:r>
          </w:p>
          <w:p w:rsidR="00000000" w:rsidRDefault="00561F59">
            <w:pPr>
              <w:jc w:val="both"/>
              <w:rPr>
                <w:rFonts w:ascii="Arial" w:hAnsi="Arial" w:cs="Arial"/>
              </w:rPr>
            </w:pPr>
            <w:r>
              <w:rPr>
                <w:rFonts w:ascii="Arial" w:hAnsi="Arial" w:cs="Arial"/>
              </w:rPr>
              <w:t>Se desarrolló una serie de escenarios por inestabilidad de laderas para la implementación de acciones de manejo de uso de la tierra en el área de influencia del deslizamiento de Abrojo, Comunidad de Abrojo, en Corredores.</w:t>
            </w:r>
          </w:p>
          <w:p w:rsidR="00000000" w:rsidRDefault="00561F59">
            <w:pPr>
              <w:jc w:val="both"/>
              <w:rPr>
                <w:rFonts w:ascii="Arial" w:hAnsi="Arial" w:cs="Arial"/>
                <w:b/>
                <w:bCs/>
                <w:i/>
                <w:iCs/>
                <w:u w:val="single"/>
              </w:rPr>
            </w:pPr>
            <w:r>
              <w:rPr>
                <w:rFonts w:ascii="Arial" w:hAnsi="Arial" w:cs="Arial"/>
                <w:b/>
                <w:bCs/>
                <w:i/>
                <w:iCs/>
                <w:u w:val="single"/>
              </w:rPr>
              <w:t>Simulacro Naciona</w:t>
            </w:r>
            <w:r>
              <w:rPr>
                <w:rFonts w:ascii="Arial" w:hAnsi="Arial" w:cs="Arial"/>
                <w:b/>
                <w:bCs/>
                <w:i/>
                <w:iCs/>
                <w:u w:val="single"/>
              </w:rPr>
              <w:t>l: Costa Rica se Prepara</w:t>
            </w:r>
          </w:p>
          <w:p w:rsidR="00000000" w:rsidRDefault="00561F59">
            <w:pPr>
              <w:jc w:val="both"/>
              <w:rPr>
                <w:rFonts w:ascii="Arial" w:hAnsi="Arial" w:cs="Arial"/>
              </w:rPr>
            </w:pPr>
            <w:r>
              <w:rPr>
                <w:rFonts w:ascii="Arial" w:hAnsi="Arial" w:cs="Arial"/>
              </w:rPr>
              <w:t xml:space="preserve">El marco de los 50 años de la existencia de la CNE y de la promulgación de la Ley Nacional de Emergencias, la CNE realizó el </w:t>
            </w:r>
            <w:r>
              <w:rPr>
                <w:rFonts w:ascii="Arial" w:hAnsi="Arial" w:cs="Arial"/>
                <w:b/>
                <w:bCs/>
                <w:i/>
                <w:iCs/>
              </w:rPr>
              <w:t>primer Simulacro Nacional de Evacuación por Sismo</w:t>
            </w:r>
            <w:r>
              <w:rPr>
                <w:rFonts w:ascii="Arial" w:hAnsi="Arial" w:cs="Arial"/>
              </w:rPr>
              <w:t xml:space="preserve"> con un enfoque inclusivo, con la participación de 1 273 </w:t>
            </w:r>
            <w:r>
              <w:rPr>
                <w:rFonts w:ascii="Arial" w:hAnsi="Arial" w:cs="Arial"/>
              </w:rPr>
              <w:t>000 personas que se sumaron a esta práctica.</w:t>
            </w:r>
          </w:p>
          <w:p w:rsidR="00000000" w:rsidRDefault="00561F59">
            <w:pPr>
              <w:jc w:val="center"/>
              <w:rPr>
                <w:rFonts w:ascii="Arial" w:hAnsi="Arial" w:cs="Arial"/>
              </w:rPr>
            </w:pPr>
            <w:r>
              <w:rPr>
                <w:rFonts w:ascii="Arial" w:hAnsi="Arial" w:cs="Arial"/>
                <w:noProof/>
              </w:rPr>
              <w:lastRenderedPageBreak/>
              <w:drawing>
                <wp:inline distT="0" distB="0" distL="0" distR="0">
                  <wp:extent cx="4333240" cy="2440940"/>
                  <wp:effectExtent l="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33240" cy="2440940"/>
                          </a:xfrm>
                          <a:prstGeom prst="rect">
                            <a:avLst/>
                          </a:prstGeom>
                          <a:noFill/>
                          <a:ln>
                            <a:noFill/>
                          </a:ln>
                        </pic:spPr>
                      </pic:pic>
                    </a:graphicData>
                  </a:graphic>
                </wp:inline>
              </w:drawing>
            </w:r>
          </w:p>
          <w:p w:rsidR="00000000" w:rsidRDefault="00561F59">
            <w:pPr>
              <w:jc w:val="both"/>
              <w:rPr>
                <w:rFonts w:ascii="Arial" w:hAnsi="Arial" w:cs="Arial"/>
              </w:rPr>
            </w:pPr>
            <w:r>
              <w:rPr>
                <w:rFonts w:ascii="Arial" w:hAnsi="Arial" w:cs="Arial"/>
              </w:rPr>
              <w:t>El ejercicio logró fortalecer la percepción de la población sobre la importancia y la necesidad de estar preparados para un sismo o cualquier emergencia.  Gracias a este ejercicio, las personas en sus casas, c</w:t>
            </w:r>
            <w:r>
              <w:rPr>
                <w:rFonts w:ascii="Arial" w:hAnsi="Arial" w:cs="Arial"/>
              </w:rPr>
              <w:t>entros de trabajo, barrios y hasta sitios públicos, identificaron la salida, las rutas de evacuación, los sitios seguros y hasta prepararon procedimientos de emergencia.</w:t>
            </w:r>
          </w:p>
          <w:p w:rsidR="00000000" w:rsidRDefault="00561F59">
            <w:pPr>
              <w:jc w:val="both"/>
              <w:rPr>
                <w:rFonts w:ascii="Arial" w:hAnsi="Arial" w:cs="Arial"/>
                <w:b/>
                <w:bCs/>
                <w:i/>
                <w:iCs/>
                <w:u w:val="single"/>
              </w:rPr>
            </w:pPr>
            <w:r>
              <w:rPr>
                <w:rFonts w:ascii="Arial" w:hAnsi="Arial" w:cs="Arial"/>
                <w:b/>
                <w:bCs/>
                <w:i/>
                <w:iCs/>
                <w:u w:val="single"/>
              </w:rPr>
              <w:t>Reconstrucción de obras</w:t>
            </w:r>
          </w:p>
          <w:p w:rsidR="00000000" w:rsidRDefault="00561F59">
            <w:pPr>
              <w:jc w:val="both"/>
              <w:rPr>
                <w:rFonts w:ascii="Arial" w:hAnsi="Arial" w:cs="Arial"/>
              </w:rPr>
            </w:pPr>
            <w:r>
              <w:rPr>
                <w:rFonts w:ascii="Arial" w:hAnsi="Arial" w:cs="Arial"/>
              </w:rPr>
              <w:t xml:space="preserve">Se destinó más de </w:t>
            </w:r>
            <w:r>
              <w:rPr>
                <w:rFonts w:ascii="Arial" w:hAnsi="Arial" w:cs="Arial"/>
                <w:b/>
                <w:bCs/>
              </w:rPr>
              <w:t>₵</w:t>
            </w:r>
            <w:r>
              <w:rPr>
                <w:rFonts w:ascii="Arial" w:hAnsi="Arial" w:cs="Arial"/>
                <w:b/>
                <w:bCs/>
              </w:rPr>
              <w:t>45 000 000 000 (cuarenta y cinco mil millon</w:t>
            </w:r>
            <w:r>
              <w:rPr>
                <w:rFonts w:ascii="Arial" w:hAnsi="Arial" w:cs="Arial"/>
                <w:b/>
                <w:bCs/>
              </w:rPr>
              <w:t>es)</w:t>
            </w:r>
            <w:r>
              <w:rPr>
                <w:rFonts w:ascii="Arial" w:hAnsi="Arial" w:cs="Arial"/>
              </w:rPr>
              <w:t xml:space="preserve"> a la reconstrucción de obras importantes en varias zonas del país con prioridad en la rehabilitación de diques, caminos, puentes, </w:t>
            </w:r>
            <w:r>
              <w:rPr>
                <w:rFonts w:ascii="Arial" w:hAnsi="Arial" w:cs="Arial"/>
              </w:rPr>
              <w:t xml:space="preserve">acueductos, intervención en cauces, que resultados afectados por algún desastre, con más de </w:t>
            </w:r>
            <w:r>
              <w:rPr>
                <w:rFonts w:ascii="Arial" w:hAnsi="Arial" w:cs="Arial"/>
                <w:b/>
                <w:bCs/>
              </w:rPr>
              <w:t>730 mil personas beneficiadas por el plan de recuperación.</w:t>
            </w:r>
          </w:p>
          <w:p w:rsidR="00000000" w:rsidRDefault="00561F59">
            <w:pPr>
              <w:jc w:val="both"/>
              <w:rPr>
                <w:rFonts w:ascii="Arial" w:hAnsi="Arial" w:cs="Arial"/>
              </w:rPr>
            </w:pPr>
            <w:r>
              <w:rPr>
                <w:rFonts w:ascii="Arial" w:hAnsi="Arial" w:cs="Arial"/>
              </w:rPr>
              <w:t>Los puentes sobre el río Pacacua, quebrada Pilas en Naranjo, Limoncito de Coto Brus y apilamiento en el m</w:t>
            </w:r>
            <w:r>
              <w:rPr>
                <w:rFonts w:ascii="Arial" w:hAnsi="Arial" w:cs="Arial"/>
              </w:rPr>
              <w:t xml:space="preserve">argen del río Grande de Térraba son parte de los </w:t>
            </w:r>
            <w:r>
              <w:rPr>
                <w:rFonts w:ascii="Arial" w:hAnsi="Arial" w:cs="Arial"/>
                <w:b/>
                <w:bCs/>
              </w:rPr>
              <w:t>121 planes de inversión y obras ejecutadas</w:t>
            </w:r>
            <w:r>
              <w:rPr>
                <w:rFonts w:ascii="Arial" w:hAnsi="Arial" w:cs="Arial"/>
              </w:rPr>
              <w:t xml:space="preserve">. </w:t>
            </w:r>
          </w:p>
          <w:p w:rsidR="00000000" w:rsidRDefault="00561F59">
            <w:pPr>
              <w:jc w:val="center"/>
              <w:rPr>
                <w:rFonts w:ascii="Arial" w:hAnsi="Arial" w:cs="Arial"/>
              </w:rPr>
            </w:pPr>
            <w:r>
              <w:rPr>
                <w:rFonts w:ascii="Arial" w:hAnsi="Arial" w:cs="Arial"/>
                <w:noProof/>
              </w:rPr>
              <w:drawing>
                <wp:inline distT="0" distB="0" distL="0" distR="0">
                  <wp:extent cx="4413250" cy="2941955"/>
                  <wp:effectExtent l="0" t="0" r="6350" b="0"/>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3250" cy="2941955"/>
                          </a:xfrm>
                          <a:prstGeom prst="rect">
                            <a:avLst/>
                          </a:prstGeom>
                          <a:noFill/>
                          <a:ln>
                            <a:noFill/>
                          </a:ln>
                        </pic:spPr>
                      </pic:pic>
                    </a:graphicData>
                  </a:graphic>
                </wp:inline>
              </w:drawing>
            </w:r>
          </w:p>
          <w:p w:rsidR="00000000" w:rsidRDefault="00561F59">
            <w:pPr>
              <w:jc w:val="both"/>
              <w:rPr>
                <w:rFonts w:ascii="Arial" w:eastAsia="Times New Roman" w:hAnsi="Arial" w:cs="Arial"/>
                <w:b/>
                <w:bCs/>
                <w:color w:val="000000"/>
              </w:rPr>
            </w:pPr>
            <w:r>
              <w:rPr>
                <w:rFonts w:ascii="Arial" w:hAnsi="Arial" w:cs="Arial"/>
              </w:rPr>
              <w:t xml:space="preserve">Por otra parte, se atendieron otras </w:t>
            </w:r>
            <w:r>
              <w:rPr>
                <w:rFonts w:ascii="Arial" w:hAnsi="Arial" w:cs="Arial"/>
                <w:b/>
                <w:bCs/>
              </w:rPr>
              <w:t>166 obras</w:t>
            </w:r>
            <w:r>
              <w:rPr>
                <w:rFonts w:ascii="Arial" w:hAnsi="Arial" w:cs="Arial"/>
              </w:rPr>
              <w:t xml:space="preserve"> por primera intervención en todo el país con una </w:t>
            </w:r>
            <w:r>
              <w:rPr>
                <w:rFonts w:ascii="Arial" w:hAnsi="Arial" w:cs="Arial"/>
                <w:b/>
                <w:bCs/>
              </w:rPr>
              <w:t xml:space="preserve">inversión de </w:t>
            </w:r>
            <w:r>
              <w:rPr>
                <w:rFonts w:ascii="Arial" w:eastAsia="Times New Roman" w:hAnsi="Arial" w:cs="Arial"/>
                <w:b/>
                <w:bCs/>
                <w:color w:val="000000"/>
              </w:rPr>
              <w:t>₡</w:t>
            </w:r>
            <w:r>
              <w:rPr>
                <w:rFonts w:ascii="Arial" w:eastAsia="Times New Roman" w:hAnsi="Arial" w:cs="Arial"/>
                <w:b/>
                <w:bCs/>
                <w:color w:val="000000"/>
              </w:rPr>
              <w:t>1 359 455 362,00.</w:t>
            </w:r>
          </w:p>
          <w:p w:rsidR="00000000" w:rsidRDefault="00561F59">
            <w:pPr>
              <w:jc w:val="both"/>
              <w:rPr>
                <w:rFonts w:ascii="Arial" w:eastAsia="Times New Roman" w:hAnsi="Arial" w:cs="Arial"/>
                <w:color w:val="000000"/>
              </w:rPr>
            </w:pPr>
          </w:p>
          <w:p w:rsidR="00000000" w:rsidRDefault="00561F59">
            <w:pPr>
              <w:jc w:val="both"/>
              <w:rPr>
                <w:rFonts w:ascii="Arial" w:hAnsi="Arial" w:cs="Arial"/>
                <w:b/>
                <w:bCs/>
                <w:i/>
                <w:iCs/>
                <w:u w:val="single"/>
              </w:rPr>
            </w:pPr>
            <w:r>
              <w:rPr>
                <w:rFonts w:ascii="Arial" w:hAnsi="Arial" w:cs="Arial"/>
                <w:b/>
                <w:bCs/>
                <w:i/>
                <w:iCs/>
                <w:u w:val="single"/>
              </w:rPr>
              <w:t>Capacitación comunitaria, munici</w:t>
            </w:r>
            <w:r>
              <w:rPr>
                <w:rFonts w:ascii="Arial" w:hAnsi="Arial" w:cs="Arial"/>
                <w:b/>
                <w:bCs/>
                <w:i/>
                <w:iCs/>
                <w:u w:val="single"/>
              </w:rPr>
              <w:t>pal e institucional</w:t>
            </w:r>
          </w:p>
          <w:p w:rsidR="00000000" w:rsidRDefault="00561F59">
            <w:pPr>
              <w:jc w:val="both"/>
              <w:rPr>
                <w:rFonts w:ascii="Arial" w:hAnsi="Arial" w:cs="Arial"/>
              </w:rPr>
            </w:pPr>
            <w:r>
              <w:rPr>
                <w:rFonts w:ascii="Arial" w:hAnsi="Arial" w:cs="Arial"/>
              </w:rPr>
              <w:t>Más de 675 colaboradores de centros educativos participaron de 22 talleres de gestión de riesgo y se brindó acompañamiento a 30 empresas sobre la elaboración de planes de preparativos y respuesta en centros de trabajo. Estos esfuerzos p</w:t>
            </w:r>
            <w:r>
              <w:rPr>
                <w:rFonts w:ascii="Arial" w:hAnsi="Arial" w:cs="Arial"/>
              </w:rPr>
              <w:t>ermiten ir sensibilizando a la población en la importancia de formarse constantemente y replicar los conocimientos para aumentar cada vez el número de personas preparadas ante emergencias.</w:t>
            </w:r>
          </w:p>
          <w:p w:rsidR="00000000" w:rsidRDefault="00561F59">
            <w:pPr>
              <w:jc w:val="both"/>
              <w:rPr>
                <w:rFonts w:ascii="Arial" w:hAnsi="Arial" w:cs="Arial"/>
              </w:rPr>
            </w:pPr>
            <w:r>
              <w:rPr>
                <w:rFonts w:ascii="Arial" w:hAnsi="Arial" w:cs="Arial"/>
              </w:rPr>
              <w:t>Este año, la CNE coordinó talleres para facilitadores en gestión de</w:t>
            </w:r>
            <w:r>
              <w:rPr>
                <w:rFonts w:ascii="Arial" w:hAnsi="Arial" w:cs="Arial"/>
              </w:rPr>
              <w:t xml:space="preserve"> planes de atención y prevención de emergencias con el Consejo de Salud, llegando así a 60 personas de sector público – privado.</w:t>
            </w:r>
          </w:p>
          <w:p w:rsidR="00000000" w:rsidRDefault="00561F59">
            <w:pPr>
              <w:jc w:val="both"/>
              <w:rPr>
                <w:rFonts w:ascii="Arial" w:hAnsi="Arial" w:cs="Arial"/>
              </w:rPr>
            </w:pPr>
            <w:r>
              <w:rPr>
                <w:rFonts w:ascii="Arial" w:hAnsi="Arial" w:cs="Arial"/>
              </w:rPr>
              <w:t>Se ha venido trabajando en la Estrategia “Fortalecimiento de la Gestión Municipal para la Reducción de Riesgo de Desastres” que</w:t>
            </w:r>
            <w:r>
              <w:rPr>
                <w:rFonts w:ascii="Arial" w:hAnsi="Arial" w:cs="Arial"/>
              </w:rPr>
              <w:t xml:space="preserve"> pretende reforzar y crear nuevas capacidades en la gestión del riesgo para los cantones del país, incluso se trabajó con énfasis con Municipalidades de Guanacaste y el Caribe para promover las Oficinas Municipales de gestión del riesgo.</w:t>
            </w:r>
          </w:p>
          <w:p w:rsidR="00000000" w:rsidRDefault="00561F59">
            <w:pPr>
              <w:jc w:val="both"/>
              <w:rPr>
                <w:rFonts w:ascii="Arial" w:hAnsi="Arial" w:cs="Arial"/>
                <w:b/>
                <w:bCs/>
                <w:i/>
                <w:iCs/>
                <w:u w:val="single"/>
              </w:rPr>
            </w:pPr>
            <w:r>
              <w:rPr>
                <w:rFonts w:ascii="Arial" w:hAnsi="Arial" w:cs="Arial"/>
                <w:b/>
                <w:bCs/>
                <w:i/>
                <w:iCs/>
                <w:u w:val="single"/>
              </w:rPr>
              <w:t>CNE avanza en tran</w:t>
            </w:r>
            <w:r>
              <w:rPr>
                <w:rFonts w:ascii="Arial" w:hAnsi="Arial" w:cs="Arial"/>
                <w:b/>
                <w:bCs/>
                <w:i/>
                <w:iCs/>
                <w:u w:val="single"/>
              </w:rPr>
              <w:t>sparencia y gestión</w:t>
            </w:r>
          </w:p>
          <w:p w:rsidR="00000000" w:rsidRDefault="00561F59">
            <w:pPr>
              <w:jc w:val="both"/>
              <w:rPr>
                <w:rFonts w:ascii="Arial" w:hAnsi="Arial" w:cs="Arial"/>
              </w:rPr>
            </w:pPr>
            <w:r>
              <w:rPr>
                <w:rFonts w:ascii="Arial" w:hAnsi="Arial" w:cs="Arial"/>
              </w:rPr>
              <w:t>Se obtuvo un importante avance en el Índice de Transparencia del Sector Público mediante la actualización de su sitio web con una plataforma mucho más amigable y con la información relevante para la ciudadanía, estando así entre las mej</w:t>
            </w:r>
            <w:r>
              <w:rPr>
                <w:rFonts w:ascii="Arial" w:hAnsi="Arial" w:cs="Arial"/>
              </w:rPr>
              <w:t>ores 40 instituciones con página web, según el INCAE, pasando del puesto 146 al 39.</w:t>
            </w:r>
          </w:p>
          <w:p w:rsidR="00000000" w:rsidRDefault="00561F59">
            <w:pPr>
              <w:jc w:val="both"/>
              <w:rPr>
                <w:rFonts w:ascii="Arial" w:hAnsi="Arial" w:cs="Arial"/>
              </w:rPr>
            </w:pPr>
            <w:r>
              <w:rPr>
                <w:rFonts w:ascii="Arial" w:hAnsi="Arial" w:cs="Arial"/>
              </w:rPr>
              <w:t>Por otra parte, se logró subir la calificación del Índice de Gestión Institucional de la Contraloría General de la República y avanzamos más de 35 puntos en el índice de tr</w:t>
            </w:r>
            <w:r>
              <w:rPr>
                <w:rFonts w:ascii="Arial" w:hAnsi="Arial" w:cs="Arial"/>
              </w:rPr>
              <w:t>ansparencia, obtuvimos 27 puntos más de calificación en el índice de cumplimiento ante la CGR. La CNE trabaja en seguir mejorando la calificación para responder a los compromisos institucionales.</w:t>
            </w:r>
          </w:p>
          <w:p w:rsidR="00000000" w:rsidRDefault="00561F59">
            <w:pPr>
              <w:jc w:val="both"/>
              <w:rPr>
                <w:rFonts w:ascii="Arial" w:hAnsi="Arial" w:cs="Arial"/>
                <w:b/>
                <w:bCs/>
                <w:i/>
                <w:iCs/>
                <w:u w:val="single"/>
              </w:rPr>
            </w:pPr>
            <w:r>
              <w:rPr>
                <w:rFonts w:ascii="Arial" w:hAnsi="Arial" w:cs="Arial"/>
                <w:b/>
                <w:bCs/>
                <w:i/>
                <w:iCs/>
                <w:u w:val="single"/>
              </w:rPr>
              <w:t>Digitalización de las comunicaciones</w:t>
            </w:r>
          </w:p>
          <w:p w:rsidR="00000000" w:rsidRDefault="00561F59">
            <w:pPr>
              <w:jc w:val="both"/>
              <w:rPr>
                <w:rFonts w:ascii="Arial" w:hAnsi="Arial" w:cs="Arial"/>
              </w:rPr>
            </w:pPr>
            <w:r>
              <w:rPr>
                <w:rFonts w:ascii="Arial" w:hAnsi="Arial" w:cs="Arial"/>
              </w:rPr>
              <w:t>Se está digitalizando e</w:t>
            </w:r>
            <w:r>
              <w:rPr>
                <w:rFonts w:ascii="Arial" w:hAnsi="Arial" w:cs="Arial"/>
              </w:rPr>
              <w:t xml:space="preserve">l sistema de radio con el que la CNE mantiene comunicación las 24 horas al día y los 365 días del año en las zonas de alta vulnerabilidad para prever y atender cualquier situación de emergencia que se presente a lo largo del territorio nacional.  </w:t>
            </w:r>
          </w:p>
          <w:p w:rsidR="00000000" w:rsidRDefault="00561F59">
            <w:pPr>
              <w:jc w:val="both"/>
              <w:rPr>
                <w:rFonts w:ascii="Arial" w:hAnsi="Arial" w:cs="Arial"/>
              </w:rPr>
            </w:pPr>
            <w:r>
              <w:rPr>
                <w:rFonts w:ascii="Arial" w:hAnsi="Arial" w:cs="Arial"/>
              </w:rPr>
              <w:t>Al digit</w:t>
            </w:r>
            <w:r>
              <w:rPr>
                <w:rFonts w:ascii="Arial" w:hAnsi="Arial" w:cs="Arial"/>
              </w:rPr>
              <w:t>alizar los sistemas de radio, se hace un uso más eficiente del espectro radioeléctrico ya que permite duplicar la capacidad de comunicación, que en momentos de un desastre es el único medio que continúa operando cuando otros sistemas como la telefónica cel</w:t>
            </w:r>
            <w:r>
              <w:rPr>
                <w:rFonts w:ascii="Arial" w:hAnsi="Arial" w:cs="Arial"/>
              </w:rPr>
              <w:t>ular y fija salen de servicio ante un desastre.</w:t>
            </w:r>
          </w:p>
          <w:p w:rsidR="00000000" w:rsidRDefault="00561F59">
            <w:pPr>
              <w:jc w:val="both"/>
              <w:rPr>
                <w:rFonts w:ascii="Arial" w:hAnsi="Arial" w:cs="Arial"/>
                <w:b/>
                <w:bCs/>
                <w:i/>
                <w:iCs/>
                <w:u w:val="single"/>
              </w:rPr>
            </w:pPr>
            <w:r>
              <w:rPr>
                <w:rFonts w:ascii="Arial" w:hAnsi="Arial" w:cs="Arial"/>
                <w:b/>
                <w:bCs/>
                <w:i/>
                <w:iCs/>
                <w:u w:val="single"/>
              </w:rPr>
              <w:t>2020 año de retos en la Gestión del Riesgo</w:t>
            </w:r>
          </w:p>
          <w:p w:rsidR="00000000" w:rsidRDefault="00561F59">
            <w:pPr>
              <w:jc w:val="both"/>
              <w:rPr>
                <w:rFonts w:ascii="Arial" w:hAnsi="Arial" w:cs="Arial"/>
              </w:rPr>
            </w:pPr>
            <w:r>
              <w:rPr>
                <w:rFonts w:ascii="Arial" w:hAnsi="Arial" w:cs="Arial"/>
              </w:rPr>
              <w:t>El próximo año se estará trabajando en el Plan Nacional de Gestión del Riesgo, una herramienta que permite articular a las instituciones del Sistema Nacional bajo la</w:t>
            </w:r>
            <w:r>
              <w:rPr>
                <w:rFonts w:ascii="Arial" w:hAnsi="Arial" w:cs="Arial"/>
              </w:rPr>
              <w:t xml:space="preserve"> tutela de la CNE en el manejo de un evento. También, se trabajará en la presentación de una Estrategia de Educación en Gestión del Riesgo para la sensibilización en la importancia de la preparación y respuesta.</w:t>
            </w:r>
          </w:p>
          <w:p w:rsidR="00000000" w:rsidRDefault="00561F59">
            <w:pPr>
              <w:jc w:val="center"/>
              <w:rPr>
                <w:rFonts w:ascii="Arial" w:hAnsi="Arial" w:cs="Arial"/>
              </w:rPr>
            </w:pPr>
          </w:p>
          <w:p w:rsidR="00000000" w:rsidRDefault="00561F59">
            <w:pPr>
              <w:pStyle w:val="TtuloTDC"/>
              <w:spacing w:before="40" w:after="40" w:line="240" w:lineRule="auto"/>
              <w:rPr>
                <w:b/>
                <w:bCs/>
                <w:color w:val="404040" w:themeColor="text1" w:themeTint="BF"/>
                <w:lang w:eastAsia="en-US"/>
              </w:rPr>
            </w:pPr>
            <w:r>
              <w:rPr>
                <w:b/>
                <w:bCs/>
                <w:color w:val="404040" w:themeColor="text1" w:themeTint="BF"/>
                <w:lang w:eastAsia="en-US"/>
              </w:rPr>
              <w:t>Alexander Solís, CNE</w:t>
            </w:r>
          </w:p>
          <w:p w:rsidR="00000000" w:rsidRDefault="00561F59">
            <w:pPr>
              <w:jc w:val="both"/>
              <w:rPr>
                <w:color w:val="767171" w:themeColor="background2" w:themeShade="80"/>
              </w:rPr>
            </w:pPr>
            <w:r>
              <w:rPr>
                <w:noProof/>
              </w:rPr>
              <w:drawing>
                <wp:anchor distT="0" distB="0" distL="114300" distR="114300" simplePos="0" relativeHeight="251662336" behindDoc="0" locked="0" layoutInCell="1" allowOverlap="1">
                  <wp:simplePos x="0" y="0"/>
                  <wp:positionH relativeFrom="column">
                    <wp:posOffset>-34925</wp:posOffset>
                  </wp:positionH>
                  <wp:positionV relativeFrom="paragraph">
                    <wp:posOffset>68580</wp:posOffset>
                  </wp:positionV>
                  <wp:extent cx="3100070" cy="2066925"/>
                  <wp:effectExtent l="0" t="0" r="5080" b="9525"/>
                  <wp:wrapSquare wrapText="bothSides"/>
                  <wp:docPr id="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0070" cy="2066925"/>
                          </a:xfrm>
                          <a:prstGeom prst="rect">
                            <a:avLst/>
                          </a:prstGeom>
                          <a:noFill/>
                        </pic:spPr>
                      </pic:pic>
                    </a:graphicData>
                  </a:graphic>
                  <wp14:sizeRelH relativeFrom="margin">
                    <wp14:pctWidth>0</wp14:pctWidth>
                  </wp14:sizeRelH>
                  <wp14:sizeRelV relativeFrom="margin">
                    <wp14:pctHeight>0</wp14:pctHeight>
                  </wp14:sizeRelV>
                </wp:anchor>
              </w:drawing>
            </w:r>
            <w:r>
              <w:rPr>
                <w:color w:val="767171" w:themeColor="background2" w:themeShade="80"/>
              </w:rPr>
              <w:t xml:space="preserve">El 2019, </w:t>
            </w:r>
            <w:r>
              <w:rPr>
                <w:color w:val="767171" w:themeColor="background2" w:themeShade="80"/>
              </w:rPr>
              <w:t xml:space="preserve">es un año enmarcado por una serie de avances y logros en la Gestión Integral del Riesgo. Llevamos a cabo el primer Simulacro Nacional y participamos del primer Simulacro Regional, lo que nos permite identificar las oportunidades de mejora y trabajar en el </w:t>
            </w:r>
            <w:r>
              <w:rPr>
                <w:color w:val="767171" w:themeColor="background2" w:themeShade="80"/>
              </w:rPr>
              <w:t>fortalecimiento de las capacidades de respuesta, en programas preventivos y el empoderamiento de las comunidades mediante la capacitación.</w:t>
            </w:r>
          </w:p>
          <w:p w:rsidR="00000000" w:rsidRDefault="00561F59">
            <w:pPr>
              <w:jc w:val="both"/>
              <w:rPr>
                <w:color w:val="7F7F7F" w:themeColor="text1" w:themeTint="80"/>
                <w:sz w:val="20"/>
                <w:szCs w:val="20"/>
              </w:rPr>
            </w:pPr>
            <w:r>
              <w:rPr>
                <w:color w:val="767171" w:themeColor="background2" w:themeShade="80"/>
              </w:rPr>
              <w:t>Además, se concluye con una de las mayores inversiones de los últimos 12 años, más de 45 mil millones de colones dest</w:t>
            </w:r>
            <w:r>
              <w:rPr>
                <w:color w:val="767171" w:themeColor="background2" w:themeShade="80"/>
              </w:rPr>
              <w:t>inados a la recuperación de puentes, caminos o diques que estaban en espera; ahora hemos devuelto a las comunidades las obras que les ayudarán a retomar sus estilos de vida, activar sus economías y el desarrollo social</w:t>
            </w:r>
            <w:r>
              <w:rPr>
                <w:color w:val="7F7F7F" w:themeColor="text1" w:themeTint="80"/>
                <w:sz w:val="20"/>
                <w:szCs w:val="20"/>
              </w:rPr>
              <w:t>.</w:t>
            </w:r>
          </w:p>
          <w:p w:rsidR="00000000" w:rsidRDefault="00561F59">
            <w:pPr>
              <w:jc w:val="both"/>
              <w:rPr>
                <w:rFonts w:cstheme="minorHAnsi"/>
                <w:color w:val="7F7F7F" w:themeColor="text1" w:themeTint="80"/>
              </w:rPr>
            </w:pPr>
            <w:r>
              <w:rPr>
                <w:rFonts w:cstheme="minorHAnsi"/>
                <w:color w:val="7F7F7F" w:themeColor="text1" w:themeTint="80"/>
              </w:rPr>
              <w:t>Tenemos como reto, el fortalecimient</w:t>
            </w:r>
            <w:r>
              <w:rPr>
                <w:rFonts w:cstheme="minorHAnsi"/>
                <w:color w:val="7F7F7F" w:themeColor="text1" w:themeTint="80"/>
              </w:rPr>
              <w:t>o de los Comités Municipales y Comunales de Emergencia, ellos son los primeros respondedores de cualquier eventualidad, por eso es una prioridad en darles asesoramiento y acompañamiento.</w:t>
            </w:r>
          </w:p>
          <w:p w:rsidR="00000000" w:rsidRDefault="00561F59">
            <w:pPr>
              <w:rPr>
                <w:rFonts w:cstheme="minorHAnsi"/>
                <w:color w:val="7F7F7F" w:themeColor="text1" w:themeTint="80"/>
              </w:rPr>
            </w:pPr>
            <w:r>
              <w:rPr>
                <w:rFonts w:cstheme="minorHAnsi"/>
                <w:color w:val="7F7F7F" w:themeColor="text1" w:themeTint="80"/>
              </w:rPr>
              <w:t>Trabajamos en el Plan Nacional de Respuesta, una herramienta que robu</w:t>
            </w:r>
            <w:r>
              <w:rPr>
                <w:rFonts w:cstheme="minorHAnsi"/>
                <w:color w:val="7F7F7F" w:themeColor="text1" w:themeTint="80"/>
              </w:rPr>
              <w:t>stecerá el accionar del Sistema Nacional de Gestión del Riesgo, ante una emergencia de grandes proporciones.</w:t>
            </w:r>
          </w:p>
        </w:tc>
        <w:tc>
          <w:tcPr>
            <w:tcW w:w="269" w:type="dxa"/>
            <w:tcBorders>
              <w:top w:val="single" w:sz="4" w:space="0" w:color="auto"/>
              <w:left w:val="single" w:sz="4" w:space="0" w:color="auto"/>
              <w:bottom w:val="single" w:sz="4" w:space="0" w:color="auto"/>
              <w:right w:val="single" w:sz="4" w:space="0" w:color="auto"/>
            </w:tcBorders>
          </w:tcPr>
          <w:p w:rsidR="00000000" w:rsidRDefault="00561F59">
            <w:pPr>
              <w:spacing w:after="0" w:line="240" w:lineRule="auto"/>
              <w:jc w:val="center"/>
              <w:rPr>
                <w:bCs/>
                <w:color w:val="000000"/>
                <w:sz w:val="40"/>
                <w:szCs w:val="40"/>
                <w:lang w:eastAsia="es-CR"/>
              </w:rPr>
            </w:pPr>
          </w:p>
        </w:tc>
      </w:tr>
      <w:tr w:rsidR="00000000">
        <w:tc>
          <w:tcPr>
            <w:tcW w:w="270" w:type="dxa"/>
            <w:tcBorders>
              <w:top w:val="single" w:sz="4" w:space="0" w:color="auto"/>
              <w:left w:val="single" w:sz="4" w:space="0" w:color="auto"/>
              <w:bottom w:val="single" w:sz="4" w:space="0" w:color="auto"/>
              <w:right w:val="single" w:sz="4" w:space="0" w:color="auto"/>
            </w:tcBorders>
          </w:tcPr>
          <w:p w:rsidR="00000000" w:rsidRDefault="00561F59">
            <w:pPr>
              <w:spacing w:after="0" w:line="240" w:lineRule="auto"/>
              <w:jc w:val="center"/>
              <w:rPr>
                <w:bCs/>
                <w:color w:val="000000"/>
                <w:sz w:val="40"/>
                <w:szCs w:val="40"/>
                <w:lang w:eastAsia="es-CR"/>
              </w:rPr>
            </w:pPr>
          </w:p>
        </w:tc>
        <w:tc>
          <w:tcPr>
            <w:tcW w:w="824" w:type="dxa"/>
            <w:tcBorders>
              <w:top w:val="single" w:sz="4" w:space="0" w:color="auto"/>
              <w:left w:val="single" w:sz="4" w:space="0" w:color="auto"/>
              <w:bottom w:val="single" w:sz="4" w:space="0" w:color="auto"/>
              <w:right w:val="single" w:sz="4" w:space="0" w:color="auto"/>
            </w:tcBorders>
          </w:tcPr>
          <w:p w:rsidR="00000000" w:rsidRDefault="00561F59">
            <w:pPr>
              <w:spacing w:after="0" w:line="240" w:lineRule="auto"/>
              <w:jc w:val="center"/>
              <w:rPr>
                <w:bCs/>
                <w:color w:val="000000"/>
                <w:sz w:val="40"/>
                <w:szCs w:val="40"/>
                <w:lang w:eastAsia="es-CR"/>
              </w:rPr>
            </w:pPr>
          </w:p>
        </w:tc>
        <w:tc>
          <w:tcPr>
            <w:tcW w:w="3251" w:type="dxa"/>
            <w:tcBorders>
              <w:top w:val="single" w:sz="4" w:space="0" w:color="auto"/>
              <w:left w:val="single" w:sz="4" w:space="0" w:color="auto"/>
              <w:bottom w:val="single" w:sz="4" w:space="0" w:color="auto"/>
              <w:right w:val="single" w:sz="4" w:space="0" w:color="auto"/>
            </w:tcBorders>
          </w:tcPr>
          <w:p w:rsidR="00000000" w:rsidRDefault="00561F59">
            <w:pPr>
              <w:spacing w:after="0" w:line="240" w:lineRule="auto"/>
              <w:jc w:val="center"/>
              <w:rPr>
                <w:bCs/>
                <w:color w:val="000000"/>
                <w:sz w:val="40"/>
                <w:szCs w:val="40"/>
                <w:lang w:eastAsia="es-CR"/>
              </w:rPr>
            </w:pPr>
          </w:p>
        </w:tc>
        <w:tc>
          <w:tcPr>
            <w:tcW w:w="3210" w:type="dxa"/>
            <w:tcBorders>
              <w:top w:val="single" w:sz="4" w:space="0" w:color="auto"/>
              <w:left w:val="single" w:sz="4" w:space="0" w:color="auto"/>
              <w:bottom w:val="single" w:sz="4" w:space="0" w:color="auto"/>
              <w:right w:val="single" w:sz="4" w:space="0" w:color="auto"/>
            </w:tcBorders>
          </w:tcPr>
          <w:p w:rsidR="00000000" w:rsidRDefault="00561F59">
            <w:pPr>
              <w:spacing w:after="0" w:line="240" w:lineRule="auto"/>
              <w:jc w:val="center"/>
              <w:rPr>
                <w:bCs/>
                <w:color w:val="000000"/>
                <w:sz w:val="40"/>
                <w:szCs w:val="40"/>
                <w:lang w:eastAsia="es-CR"/>
              </w:rPr>
            </w:pPr>
          </w:p>
        </w:tc>
        <w:tc>
          <w:tcPr>
            <w:tcW w:w="284" w:type="dxa"/>
            <w:tcBorders>
              <w:top w:val="single" w:sz="4" w:space="0" w:color="auto"/>
              <w:left w:val="single" w:sz="4" w:space="0" w:color="auto"/>
              <w:bottom w:val="single" w:sz="4" w:space="0" w:color="auto"/>
              <w:right w:val="single" w:sz="4" w:space="0" w:color="auto"/>
            </w:tcBorders>
          </w:tcPr>
          <w:p w:rsidR="00000000" w:rsidRDefault="00561F59">
            <w:pPr>
              <w:spacing w:after="0" w:line="240" w:lineRule="auto"/>
              <w:jc w:val="center"/>
              <w:rPr>
                <w:bCs/>
                <w:color w:val="000000"/>
                <w:sz w:val="40"/>
                <w:szCs w:val="40"/>
                <w:lang w:eastAsia="es-CR"/>
              </w:rPr>
            </w:pPr>
          </w:p>
        </w:tc>
        <w:tc>
          <w:tcPr>
            <w:tcW w:w="269" w:type="dxa"/>
            <w:tcBorders>
              <w:top w:val="single" w:sz="4" w:space="0" w:color="auto"/>
              <w:left w:val="single" w:sz="4" w:space="0" w:color="auto"/>
              <w:bottom w:val="single" w:sz="4" w:space="0" w:color="auto"/>
              <w:right w:val="single" w:sz="4" w:space="0" w:color="auto"/>
            </w:tcBorders>
          </w:tcPr>
          <w:p w:rsidR="00000000" w:rsidRDefault="00561F59">
            <w:pPr>
              <w:spacing w:after="0" w:line="240" w:lineRule="auto"/>
              <w:jc w:val="center"/>
              <w:rPr>
                <w:bCs/>
                <w:color w:val="000000"/>
                <w:sz w:val="40"/>
                <w:szCs w:val="40"/>
                <w:lang w:eastAsia="es-CR"/>
              </w:rPr>
            </w:pPr>
          </w:p>
        </w:tc>
      </w:tr>
    </w:tbl>
    <w:p w:rsidR="00000000" w:rsidRDefault="00561F59"/>
    <w:sectPr w:rsidR="0000000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EB00C6"/>
    <w:multiLevelType w:val="hybridMultilevel"/>
    <w:tmpl w:val="899CA66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num w:numId="1" w16cid:durableId="723454799">
    <w:abstractNumId w:val="0"/>
  </w:num>
  <w:num w:numId="2" w16cid:durableId="6981752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F59"/>
    <w:rsid w:val="00561F5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chartTrackingRefBased/>
  <w15:docId w15:val="{AF86931B-E930-4963-BBC4-F681749B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F5496" w:themeColor="accent1" w:themeShade="BF"/>
      <w:sz w:val="32"/>
      <w:szCs w:val="32"/>
    </w:rPr>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s-CR"/>
    </w:rPr>
  </w:style>
  <w:style w:type="paragraph" w:styleId="Prrafodelista">
    <w:name w:val="List Paragraph"/>
    <w:basedOn w:val="Normal"/>
    <w:uiPriority w:val="34"/>
    <w:qFormat/>
    <w:pPr>
      <w:ind w:left="720"/>
      <w:contextualSpacing/>
    </w:pPr>
  </w:style>
  <w:style w:type="paragraph" w:styleId="TtuloTDC">
    <w:name w:val="TOC Heading"/>
    <w:basedOn w:val="Ttulo1"/>
    <w:next w:val="Normal"/>
    <w:uiPriority w:val="39"/>
    <w:semiHidden/>
    <w:unhideWhenUsed/>
    <w:qFormat/>
    <w:pPr>
      <w:outlineLvl w:val="9"/>
    </w:pPr>
    <w:rPr>
      <w:lang w:eastAsia="es-CR"/>
    </w:r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1264</Words>
  <Characters>6954</Characters>
  <Application>Microsoft Office Word</Application>
  <DocSecurity>0</DocSecurity>
  <Lines>57</Lines>
  <Paragraphs>16</Paragraphs>
  <ScaleCrop>false</ScaleCrop>
  <Company/>
  <LinksUpToDate>false</LinksUpToDate>
  <CharactersWithSpaces>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Antonio Román Navarro</dc:creator>
  <cp:keywords/>
  <dc:description/>
  <cp:lastModifiedBy>David Eduarte Vargas</cp:lastModifiedBy>
  <cp:revision>2</cp:revision>
  <dcterms:created xsi:type="dcterms:W3CDTF">2022-05-13T19:52:00Z</dcterms:created>
  <dcterms:modified xsi:type="dcterms:W3CDTF">2022-05-13T19:52:00Z</dcterms:modified>
</cp:coreProperties>
</file>