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931"/>
        <w:gridCol w:w="2980"/>
        <w:gridCol w:w="2946"/>
        <w:gridCol w:w="475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pStyle w:val="Ttulo1"/>
              <w:jc w:val="center"/>
              <w:rPr>
                <w:b/>
                <w:color w:val="1F4E79" w:themeColor="accent5" w:themeShade="80"/>
              </w:rPr>
            </w:pPr>
            <w:r>
              <w:rPr>
                <w:b/>
                <w:color w:val="1F4E79" w:themeColor="accent5" w:themeShade="80"/>
              </w:rPr>
              <w:t>Pavas se suma a la lista de distritos con alerta naranja</w:t>
            </w:r>
          </w:p>
          <w:p w:rsidR="00000000" w:rsidRDefault="007219F9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i/>
                <w:noProof/>
                <w:color w:val="000000" w:themeColor="text1"/>
                <w:szCs w:val="24"/>
              </w:rPr>
              <w:drawing>
                <wp:inline distT="0" distB="0" distL="0" distR="0">
                  <wp:extent cx="5677535" cy="4389120"/>
                  <wp:effectExtent l="0" t="0" r="0" b="0"/>
                  <wp:docPr id="1" name="Imagen 1" descr="Imagen que contiene texto, map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texto, map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7535" cy="438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7219F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Estudio de aguas residuales, del Ministerio de Salud en colaboración con el AyA, permitió detectar presencia del SARS-COV-2 en el alcantarillado de la zona.</w:t>
            </w:r>
          </w:p>
          <w:p w:rsidR="00000000" w:rsidRDefault="007219F9">
            <w:pPr>
              <w:pStyle w:val="Prrafodelista"/>
              <w:spacing w:line="240" w:lineRule="auto"/>
              <w:jc w:val="both"/>
              <w:rPr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7219F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Alerta naranja est</w:t>
            </w:r>
            <w:r>
              <w:rPr>
                <w:bCs/>
                <w:i/>
                <w:iCs/>
                <w:color w:val="000000" w:themeColor="text1"/>
                <w:szCs w:val="24"/>
              </w:rPr>
              <w:t>ablece restricción vehicular diferenciada y regulación especial de establecimientos.</w:t>
            </w:r>
          </w:p>
          <w:p w:rsidR="00000000" w:rsidRDefault="007219F9">
            <w:pPr>
              <w:pStyle w:val="Prrafodelista"/>
              <w:rPr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7219F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El ministro Salas detalló que Pavas es quizá el distrito donde se ha encontrado mayor peligro de evidenciar transmisión comunitaria.</w:t>
            </w:r>
          </w:p>
          <w:p w:rsidR="00000000" w:rsidRDefault="007219F9">
            <w:pPr>
              <w:pStyle w:val="Prrafodelista"/>
              <w:rPr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7219F9">
            <w:pPr>
              <w:pStyle w:val="Prrafodelista"/>
              <w:numPr>
                <w:ilvl w:val="0"/>
                <w:numId w:val="2"/>
              </w:numPr>
              <w:rPr>
                <w:bCs/>
                <w:i/>
                <w:iCs/>
                <w:color w:val="000000" w:themeColor="text1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Cs w:val="24"/>
              </w:rPr>
              <w:t>En la lista de rutas exceptuadas a l</w:t>
            </w:r>
            <w:r>
              <w:rPr>
                <w:bCs/>
                <w:i/>
                <w:iCs/>
                <w:color w:val="000000" w:themeColor="text1"/>
                <w:szCs w:val="24"/>
              </w:rPr>
              <w:t>a restricción vehicular diferenciada, se agregan las rutas 39 (Circunvalación), 27 (Próspero Fernández), 209 (San José-Aserrí-Curridabat), 210 (Desamparados-Curridabat) y 214 (San Sebastían-San Rafael Arriba de Desamparados).</w:t>
            </w:r>
          </w:p>
          <w:p w:rsidR="00000000" w:rsidRDefault="007219F9">
            <w:pPr>
              <w:rPr>
                <w:bCs/>
                <w:i/>
                <w:iCs/>
                <w:color w:val="000000" w:themeColor="text1"/>
                <w:szCs w:val="24"/>
              </w:rPr>
            </w:pP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Tras el análisis de la situac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ión epidemiológica que realizó el Ministerio de Salud por el COVID-19, la Comisión Nacional de Prevención de Riesgos y Atención de Emergencias (CNE) elevó la 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lastRenderedPageBreak/>
              <w:t>alerta naranja el distrito de Pavas, así lo dio a conocer el Ministro de Salud, Daniel Salas en co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nferencia de prensa este martes.</w:t>
            </w: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“Pavas tiene una situación delicada, varios factores que nos hacen elevar la alerta: primero un aumento de casos, mientras que a lo largo de toda la pandemia Pavas había registrado 22 positivos, en los últimos días ha sumad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o 42, por otro lado en nuestros operativos de vigilancias comunitarias hemos captados 6 casos en las últimas dos semanas. Lo anterior se suma al análisis de aguas residuales que realizamos la semana anterior con la colaboración del AyA, los cuales nos evid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encian presencia del SARS-COV-2 en el alcantarillado de la zona”, expresó el ministro de Salud, Daniel Salas. </w:t>
            </w: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Agregó que “la situación amerita el compromiso de habitantes, comercio 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e institucionalidad para prevenir la propagación del virus. Desde el Ministerio de Salud iniciamos operativos en la zona para darle seguimiento al cumplimiento de protocolos por parte del sector empresarial, a la vez que recomendamos a la población de Pava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s utilizar mascarilla en todo momento, de la mano con el cumplimiento de las medidas de distanciamiento e higiene. Pavas es quizá el distrito donde hemos encontrado mayor peligro de evidenciar transmisión comunitaria”. </w:t>
            </w: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8"/>
              </w:rPr>
              <w:t>Alerta naranja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.</w:t>
            </w: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Los distritos en ale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rta naranja tienen regulación especial en los establecimientos con permisos sanitarios de funcionamiento, los cuales podrán funcionar de lunes a viernes de 5:00 a.m. a 5:00 p.m. y los fines de semana. La restricción horaria no aplica para supermercados, fa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rmacias, pulperías, abastecedores y servicios de salud, así como aquellos establecimientos habilitados de manera excepcional por el Ministerio de Salud.</w:t>
            </w: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Pococí, Peñas Blancas (San Ramón), Los Chiles (Los Chiles), La Fortuna (San Carlos), Upala, Paquera (Pu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ntarenas), Alajuelita, Desamparados y Pavas (San José) se encuentran bajo esta alerta. </w:t>
            </w:r>
          </w:p>
          <w:p w:rsidR="00000000" w:rsidRDefault="007219F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>Se actualizan las rutas exceptuadas de restricción vehicular diferenciada, las cuales están sujetas a la restricción vehicular del Decreto Ejecutivo número 42253-MOPT-S</w:t>
            </w:r>
            <w:r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del 24 de marzo de 2020: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209 (San José-Aserrí-Curridabat)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210 (Desamparados-Curridabat)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214 (San Sebastián-San Rafael Arriba de Desamparados)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Ruta 39 (Circunvalación)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 xml:space="preserve">Ruta 27 (Próspero Fernández) 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 (Ruta Interamericana Norte)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6 (Cañas-Upala)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142 (Cañas-T</w:t>
            </w:r>
            <w:r>
              <w:rPr>
                <w:color w:val="000000" w:themeColor="text1"/>
                <w:sz w:val="24"/>
                <w:szCs w:val="28"/>
              </w:rPr>
              <w:t>ilarán-La Fortuna)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702 (San Ramón – La Fortuna)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18 (Abangares-Nicoya)</w:t>
            </w:r>
          </w:p>
          <w:p w:rsidR="00000000" w:rsidRDefault="007219F9">
            <w:pPr>
              <w:pStyle w:val="Prrafodelista"/>
              <w:numPr>
                <w:ilvl w:val="0"/>
                <w:numId w:val="4"/>
              </w:num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 w:val="24"/>
                <w:szCs w:val="28"/>
              </w:rPr>
              <w:t>32 (Braulio Carrillo)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219F9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7219F9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D39"/>
    <w:multiLevelType w:val="hybridMultilevel"/>
    <w:tmpl w:val="2D906E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232D3"/>
    <w:multiLevelType w:val="hybridMultilevel"/>
    <w:tmpl w:val="13E4799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206162">
    <w:abstractNumId w:val="0"/>
  </w:num>
  <w:num w:numId="2" w16cid:durableId="16180290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04528548">
    <w:abstractNumId w:val="1"/>
  </w:num>
  <w:num w:numId="4" w16cid:durableId="11547579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F9"/>
    <w:rsid w:val="007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after="0" w:line="276" w:lineRule="auto"/>
      <w:ind w:left="720"/>
      <w:contextualSpacing/>
    </w:pPr>
    <w:rPr>
      <w:rFonts w:ascii="Arial" w:eastAsia="Arial" w:hAnsi="Arial" w:cs="Arial"/>
      <w:lang w:eastAsia="es-ES_tradnl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2022-05-13T19:51:00Z</dcterms:created>
  <dcterms:modified xsi:type="dcterms:W3CDTF">2022-05-13T19:51:00Z</dcterms:modified>
</cp:coreProperties>
</file>