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65"/>
        <w:gridCol w:w="3454"/>
        <w:gridCol w:w="3414"/>
        <w:gridCol w:w="534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pStyle w:val="Ttulo1"/>
              <w:jc w:val="center"/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>País cerrará el año con 15 cantones en alerta naranja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0F54">
            <w:pPr>
              <w:rPr>
                <w:rFonts w:ascii="Arial" w:hAnsi="Arial" w:cs="Arial"/>
              </w:rPr>
            </w:pPr>
            <w:r>
              <w:t>•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hAnsi="Arial" w:cs="Arial"/>
              </w:rPr>
              <w:t xml:space="preserve">El Guarco, Oreamuno, Belén, Flores, Corredores, Golfito, Montes de Oro y Osa </w:t>
            </w:r>
            <w:r>
              <w:rPr>
                <w:rFonts w:ascii="Arial" w:hAnsi="Arial" w:cs="Arial"/>
              </w:rPr>
              <w:t>subieron de alerta amarilla a naranja por aumento de casos en las últimas semanas.</w:t>
            </w:r>
          </w:p>
          <w:p w:rsidR="00000000" w:rsidRDefault="0096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Carrillo, Hojancha, Nicoya, Santa Cruz, Garabito, Puntarenas, además de Alajuelita disminuyeron su nivel de riesgo de contagio y bajaron de alerta naranja a amarilla.</w:t>
            </w:r>
          </w:p>
          <w:p w:rsidR="00000000" w:rsidRDefault="0096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Si</w:t>
            </w:r>
            <w:r>
              <w:rPr>
                <w:rFonts w:ascii="Arial" w:hAnsi="Arial" w:cs="Arial"/>
              </w:rPr>
              <w:t>stema hospitalario sigue manteniendo altos niveles de ocupación de camas UCI críticas.</w:t>
            </w:r>
          </w:p>
          <w:p w:rsidR="00000000" w:rsidRDefault="0096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CNE realiza visitas a 32 cantones para verificar si existe un buen cumplimiento a las recomendaciones sanitarias.</w:t>
            </w:r>
          </w:p>
          <w:p w:rsidR="00000000" w:rsidRDefault="00960F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Autoridades piden actuar con responsabilidad durant</w:t>
            </w:r>
            <w:r>
              <w:rPr>
                <w:rFonts w:ascii="Arial" w:hAnsi="Arial" w:cs="Arial"/>
              </w:rPr>
              <w:t>e las celebraciones de Año Nuevo y ante todo mantenerse en burbuja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 martes, la Comisión Nacional de Prevención de Riesgos y Atención de Emergencias (CNE) actualizó el estado de alertas por COVID-19. La Comisión elevó ocho cantones de alerta amarilla a</w:t>
            </w:r>
            <w:r>
              <w:rPr>
                <w:rFonts w:ascii="Arial" w:hAnsi="Arial" w:cs="Arial"/>
                <w:sz w:val="24"/>
                <w:szCs w:val="24"/>
              </w:rPr>
              <w:t xml:space="preserve"> alerta naranja: Corredores, Golfito, Montes de Oro, Osa, El Guarco, Oreamuno, Belén y Flores. 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el caso de Puntarenas, es la provincia con más cantones en alerta naranja para las siguientes dos semanas, con un total de 5 localidades. De esta manera, Pun</w:t>
            </w:r>
            <w:r>
              <w:rPr>
                <w:rFonts w:ascii="Arial" w:hAnsi="Arial" w:cs="Arial"/>
                <w:sz w:val="24"/>
                <w:szCs w:val="24"/>
              </w:rPr>
              <w:t>tarenas concentra un tercio de estas alertas.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Corredores es el caso que las autoridades evalúan con mayor cuidado, ya que  el cantón alcanzó su pico de contagios con 205, presentando un incremento del 55% entre las últimas dos semanas.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Además, las provinci</w:t>
            </w:r>
            <w:r>
              <w:rPr>
                <w:rFonts w:ascii="Arial" w:hAnsi="Arial" w:cs="Arial"/>
                <w:sz w:val="24"/>
                <w:szCs w:val="24"/>
              </w:rPr>
              <w:t>as de Cartago y Heredia vuelven a contar con alertas naranja después de varias semanas de no presentar ninguna. De hecho, El Guarco y Oreamuno son los únicos cantones cartagineses que han reportado un índice de riesgo de contagio alto en los últimos dos me</w:t>
            </w:r>
            <w:r>
              <w:rPr>
                <w:rFonts w:ascii="Arial" w:hAnsi="Arial" w:cs="Arial"/>
                <w:sz w:val="24"/>
                <w:szCs w:val="24"/>
              </w:rPr>
              <w:t>ses, de manera esporádica.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autoridades hicieron un nuevo llamado a actuar con responsabilidad durante las celebraciones de fin y principio de año, ya que el sistema hospitalario continua reportando un alto nivel de ocupación de camas, especialmente en </w:t>
            </w:r>
            <w:r>
              <w:rPr>
                <w:rFonts w:ascii="Arial" w:hAnsi="Arial" w:cs="Arial"/>
                <w:sz w:val="24"/>
                <w:szCs w:val="24"/>
              </w:rPr>
              <w:t>los espacios de cuidados intensivos críticos.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los últimos dos días, los hospitales han visto un incremento en el número de internamientos en salón y cuidados intensivos, tanto en hospitales nacionales como regionales.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 total, para estos últimos días d</w:t>
            </w:r>
            <w:r>
              <w:rPr>
                <w:rFonts w:ascii="Arial" w:hAnsi="Arial" w:cs="Arial"/>
                <w:sz w:val="24"/>
                <w:szCs w:val="24"/>
              </w:rPr>
              <w:t xml:space="preserve">el 2020 y las primeras dos semanas del 2021, la CNE reporta 15 cantones en alerta naranja 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209665" cy="2790825"/>
                  <wp:effectExtent l="0" t="0" r="635" b="9525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966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60F54">
            <w:pPr>
              <w:ind w:right="3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Cantones costeros bajan su nivel de riesgo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Seis cantones costeros de Guanacaste (Carrillo, Hojancha, Nicoya y Santa Cruz) y Puntarenas (Garabito y el cantón centra</w:t>
            </w:r>
            <w:r>
              <w:rPr>
                <w:rFonts w:ascii="Arial" w:hAnsi="Arial" w:cs="Arial"/>
                <w:sz w:val="24"/>
                <w:szCs w:val="24"/>
              </w:rPr>
              <w:t xml:space="preserve">l de Puntarenas), así como Alajuelita bajarán de alerta naranja a amarilla a partir de este miércoles. 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trabajos de prevención y contención del virus permitieron que estos siete </w:t>
            </w:r>
            <w:r>
              <w:rPr>
                <w:rFonts w:ascii="Arial" w:hAnsi="Arial" w:cs="Arial"/>
                <w:sz w:val="24"/>
                <w:szCs w:val="24"/>
              </w:rPr>
              <w:t>cantones regresen a alerta amarilla. Entre estos destaca el caso de Puntarenas, esta localidad pasó de reportar 327 contagios a finales de noviembre, a contar 130 la semana anterior, su menor número desde agosto.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Otros cantones con reducciones importantes </w:t>
            </w:r>
            <w:r>
              <w:rPr>
                <w:rFonts w:ascii="Arial" w:hAnsi="Arial" w:cs="Arial"/>
                <w:sz w:val="24"/>
                <w:szCs w:val="24"/>
              </w:rPr>
              <w:t>fueron Nicoya, Santa Cruz y Garabito, los cuales disminuyeron sus casos a alrededor de la mitad en pocas semanas.</w:t>
            </w:r>
          </w:p>
          <w:p w:rsidR="00000000" w:rsidRDefault="00960F54">
            <w:pPr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“Destacamos el trabajo de las instituciones del Sistema Nacional de Gestión de Riesgo y de los Comités Municipales de Emergencia, quienes aún </w:t>
            </w:r>
            <w:r>
              <w:rPr>
                <w:rFonts w:ascii="Arial" w:hAnsi="Arial" w:cs="Arial"/>
                <w:sz w:val="24"/>
                <w:szCs w:val="24"/>
              </w:rPr>
              <w:t>en estas fechas, siguen trabajando con todo el compromiso de salvaguardar la salud de los habitantes, aún vienen días de intenso trabajo por lo que reiteramos nuestro llamado a la cordura y al autocuidado a todas las personas”, comentó Alexander Solís, pre</w:t>
            </w:r>
            <w:r>
              <w:rPr>
                <w:rFonts w:ascii="Arial" w:hAnsi="Arial" w:cs="Arial"/>
                <w:sz w:val="24"/>
                <w:szCs w:val="24"/>
              </w:rPr>
              <w:t>sidente de la CNE.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Actualmente, 119 distritos en 45 cantones en situación amarilla presentan una alerta temprana (alerta sindrómica), por un aumento en las consultas médicas por tos y fiebre, síntomas para advertir sobre un eventual aumento en el número de</w:t>
            </w:r>
            <w:r>
              <w:rPr>
                <w:rFonts w:ascii="Arial" w:hAnsi="Arial" w:cs="Arial"/>
                <w:sz w:val="24"/>
                <w:szCs w:val="24"/>
              </w:rPr>
              <w:t xml:space="preserve"> casos por COVID-19. </w:t>
            </w:r>
          </w:p>
          <w:p w:rsidR="00000000" w:rsidRDefault="00960F54">
            <w:pPr>
              <w:ind w:right="3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CNE realiza visitas en 32 cantones</w:t>
            </w:r>
          </w:p>
          <w:p w:rsidR="00000000" w:rsidRDefault="00960F54">
            <w:pPr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Desde la semana pasada, la CNE viene realizando una serie de visitas en 32 cantones para verificar si existe un buen cumplimiento a las recomendaciones sanitarias para prevenir el COVID-19. Solamente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entre el 21 al 24 de diciembre, la CNE visitó 17 cantones; en esta ocasión el personal de la CNE realizó 429 valoraciones en comercios y zonas de uso común. </w:t>
            </w:r>
          </w:p>
          <w:p w:rsidR="00000000" w:rsidRDefault="00960F54">
            <w:pPr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960F54">
            <w:pPr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principales hallazgos son los siguientes: </w:t>
            </w:r>
          </w:p>
          <w:p w:rsidR="00000000" w:rsidRDefault="00960F54">
            <w:pPr>
              <w:spacing w:line="254" w:lineRule="auto"/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la mayor parte de las visitas, se evidenció un</w:t>
            </w:r>
            <w:r>
              <w:rPr>
                <w:rFonts w:ascii="Arial" w:hAnsi="Arial" w:cs="Arial"/>
                <w:sz w:val="24"/>
                <w:szCs w:val="24"/>
              </w:rPr>
              <w:t xml:space="preserve"> uso correcto la mascarilla, lo que equivale a un 74%. Al menos un 70% de comercios cuentan con información que oriente a cómo prevenir el COVID-19 y un 67% de los comercios cuentan con mecanismos para lavado de manos o desinfección de manos mediante soluc</w:t>
            </w:r>
            <w:r>
              <w:rPr>
                <w:rFonts w:ascii="Arial" w:hAnsi="Arial" w:cs="Arial"/>
                <w:sz w:val="24"/>
                <w:szCs w:val="24"/>
              </w:rPr>
              <w:t>ión de alcohol.</w:t>
            </w:r>
          </w:p>
          <w:p w:rsidR="00000000" w:rsidRDefault="00960F54">
            <w:pPr>
              <w:spacing w:line="254" w:lineRule="auto"/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68% de personas que se desplazaban al cantón por compras o salir a comer, si se desplazaba junto a su burbuja. En el 39% de los casos, las personas no solían guardar la distancia física sea mientras visitaban comercios o en paradas de autob</w:t>
            </w:r>
            <w:r>
              <w:rPr>
                <w:rFonts w:ascii="Arial" w:hAnsi="Arial" w:cs="Arial"/>
                <w:sz w:val="24"/>
                <w:szCs w:val="24"/>
              </w:rPr>
              <w:t xml:space="preserve">uses. </w:t>
            </w:r>
          </w:p>
          <w:p w:rsidR="00000000" w:rsidRDefault="00960F54">
            <w:pPr>
              <w:ind w:right="2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visitas a cantones se mantienen desde inicios de esta semana y se pretende llegar a otros 15 cantones, ahora con mayor atención en aquellos que ya están recibiendo la llegada de turismo nacional y extranjero para celebrar el cambio de año fuera </w:t>
            </w:r>
            <w:r>
              <w:rPr>
                <w:rFonts w:ascii="Arial" w:hAnsi="Arial" w:cs="Arial"/>
                <w:sz w:val="24"/>
                <w:szCs w:val="24"/>
              </w:rPr>
              <w:t>de la GAM.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Medidas para fin y principio de año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Durante la conferencia de prensa de este martes, las autoridades reiteraron la aplicación nacional de medidas para evitar el contagio de COVID-19 entre el 31 de diciembre y el 31 de enero.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31 de diciemb</w:t>
            </w:r>
            <w:r>
              <w:rPr>
                <w:rFonts w:ascii="Arial" w:hAnsi="Arial" w:cs="Arial"/>
                <w:sz w:val="24"/>
                <w:szCs w:val="24"/>
              </w:rPr>
              <w:t>re 2020: Restricción vehicular sanitaria y cierre de establecimientos con atención al público a partir de las 7:00 p.m.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 1ero, sábado 2 y domingo 3 de enero: Restricción vehicular sanitaria y cierre de establecimientos con atención al público a part</w:t>
            </w:r>
            <w:r>
              <w:rPr>
                <w:rFonts w:ascii="Arial" w:hAnsi="Arial" w:cs="Arial"/>
                <w:sz w:val="24"/>
                <w:szCs w:val="24"/>
              </w:rPr>
              <w:t>ir de las 8:00 p.m.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al 31 de enero: Se retoma la restricción vehicular sanitaria a partir de las 10:00 p.m. de lunes a viernes. Sábados solo podrán circular placas terminadas en 0,2,4,6 y 8, domingos las terminadas en 1, 3, 5, 7 y 9. Ambos días rige a pa</w:t>
            </w:r>
            <w:r>
              <w:rPr>
                <w:rFonts w:ascii="Arial" w:hAnsi="Arial" w:cs="Arial"/>
                <w:sz w:val="24"/>
                <w:szCs w:val="24"/>
              </w:rPr>
              <w:t>rtir de las 9:00pm. Además, los bares y casinos funcionarán con aforo del 25%, los parques nacionales funcionarán con aforo de 50% y las playas estarán abiertas entre 5:00 a.m. y 2:30 p.m.</w:t>
            </w:r>
          </w:p>
          <w:p w:rsidR="00000000" w:rsidRDefault="00960F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Pueden visitar el sitio </w:t>
            </w:r>
            <w:hyperlink r:id="rId7" w:history="1">
              <w:r>
                <w:rPr>
                  <w:rStyle w:val="Hipervnculo"/>
                  <w:color w:val="auto"/>
                  <w:sz w:val="24"/>
                  <w:szCs w:val="24"/>
                  <w:u w:val="none"/>
                </w:rPr>
                <w:t>http://presidencia.go.cr/alertas</w:t>
              </w:r>
            </w:hyperlink>
            <w:r>
              <w:rPr>
                <w:b/>
                <w:bCs/>
                <w:sz w:val="24"/>
                <w:szCs w:val="24"/>
              </w:rPr>
              <w:t> para conocer las alertas, medidas y restricciones implementadas en su cantón.  </w:t>
            </w:r>
          </w:p>
          <w:p w:rsidR="00000000" w:rsidRDefault="00960F54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60F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960F54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960F54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960F54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960F54">
      <w:pPr>
        <w:rPr>
          <w:lang w:val="es-ES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60F54">
      <w:pPr>
        <w:spacing w:after="0" w:line="240" w:lineRule="auto"/>
      </w:pPr>
      <w:r>
        <w:separator/>
      </w:r>
    </w:p>
  </w:endnote>
  <w:endnote w:type="continuationSeparator" w:id="0">
    <w:p w:rsidR="00000000" w:rsidRDefault="009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60F54">
      <w:pPr>
        <w:spacing w:after="0" w:line="240" w:lineRule="auto"/>
      </w:pPr>
      <w:r>
        <w:separator/>
      </w:r>
    </w:p>
  </w:footnote>
  <w:footnote w:type="continuationSeparator" w:id="0">
    <w:p w:rsidR="00000000" w:rsidRDefault="0096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960F54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4"/>
    <w:rsid w:val="009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esidencia.go.cr/alert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2022-05-13T19:52:00Z</dcterms:created>
  <dcterms:modified xsi:type="dcterms:W3CDTF">2022-05-13T19:52:00Z</dcterms:modified>
</cp:coreProperties>
</file>