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19"/>
        <w:gridCol w:w="1087"/>
        <w:gridCol w:w="3428"/>
        <w:gridCol w:w="3389"/>
        <w:gridCol w:w="566"/>
        <w:gridCol w:w="220"/>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0D58C4">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0D58C4">
            <w:pPr>
              <w:pStyle w:val="Ttulo1"/>
              <w:jc w:val="center"/>
              <w:rPr>
                <w:sz w:val="52"/>
                <w:szCs w:val="52"/>
              </w:rPr>
            </w:pPr>
            <w:r>
              <w:rPr>
                <w:sz w:val="52"/>
                <w:szCs w:val="52"/>
              </w:rPr>
              <w:t>Más de 284 mil insumos</w:t>
            </w:r>
          </w:p>
          <w:p w:rsidR="00000000" w:rsidRDefault="000D58C4">
            <w:pPr>
              <w:pStyle w:val="Ttulo1"/>
              <w:jc w:val="center"/>
              <w:outlineLvl w:val="0"/>
              <w:rPr>
                <w:sz w:val="44"/>
                <w:szCs w:val="44"/>
              </w:rPr>
            </w:pPr>
            <w:r>
              <w:rPr>
                <w:sz w:val="52"/>
                <w:szCs w:val="52"/>
              </w:rPr>
              <w:t>distribuidos en poblaciones indígenas</w:t>
            </w:r>
          </w:p>
          <w:p w:rsidR="00000000" w:rsidRDefault="000D58C4">
            <w:pPr>
              <w:rPr>
                <w:lang w:val="es-ES"/>
              </w:rPr>
            </w:pPr>
          </w:p>
          <w:p w:rsidR="00000000" w:rsidRDefault="000D58C4">
            <w:pPr>
              <w:jc w:val="center"/>
              <w:rPr>
                <w:lang w:val="es-ES"/>
              </w:rPr>
            </w:pPr>
            <w:r>
              <w:rPr>
                <w:noProof/>
                <w:lang w:val="es-ES"/>
              </w:rPr>
              <w:drawing>
                <wp:inline distT="0" distB="0" distL="0" distR="0">
                  <wp:extent cx="7188200" cy="539115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8200" cy="5391150"/>
                          </a:xfrm>
                          <a:prstGeom prst="rect">
                            <a:avLst/>
                          </a:prstGeom>
                          <a:noFill/>
                          <a:ln>
                            <a:noFill/>
                          </a:ln>
                        </pic:spPr>
                      </pic:pic>
                    </a:graphicData>
                  </a:graphic>
                </wp:inline>
              </w:drawing>
            </w:r>
          </w:p>
          <w:p w:rsidR="00000000" w:rsidRDefault="000D58C4">
            <w:pPr>
              <w:spacing w:after="0" w:line="240" w:lineRule="auto"/>
              <w:ind w:left="142"/>
              <w:jc w:val="center"/>
              <w:rPr>
                <w:rFonts w:ascii="Arial" w:hAnsi="Arial" w:cs="Arial"/>
                <w:b/>
                <w:sz w:val="32"/>
                <w:szCs w:val="32"/>
                <w:lang w:val="es-ES"/>
              </w:rPr>
            </w:pPr>
          </w:p>
          <w:p w:rsidR="00000000" w:rsidRDefault="000D58C4">
            <w:pPr>
              <w:spacing w:after="0" w:line="240" w:lineRule="auto"/>
              <w:ind w:left="436"/>
              <w:jc w:val="both"/>
              <w:rPr>
                <w:rFonts w:ascii="Arial" w:hAnsi="Arial" w:cs="Arial"/>
                <w:bCs/>
                <w:i/>
                <w:iCs/>
                <w:sz w:val="20"/>
                <w:szCs w:val="20"/>
                <w:lang w:val="es-ES"/>
              </w:rPr>
            </w:pPr>
            <w:r>
              <w:rPr>
                <w:rFonts w:ascii="Arial" w:hAnsi="Arial" w:cs="Arial"/>
                <w:bCs/>
                <w:i/>
                <w:iCs/>
                <w:sz w:val="20"/>
                <w:szCs w:val="20"/>
                <w:lang w:val="es-ES"/>
              </w:rPr>
              <w:t>●</w:t>
            </w:r>
            <w:r>
              <w:rPr>
                <w:rFonts w:ascii="Arial" w:hAnsi="Arial" w:cs="Arial"/>
                <w:bCs/>
                <w:i/>
                <w:iCs/>
                <w:sz w:val="20"/>
                <w:szCs w:val="20"/>
                <w:lang w:val="es-ES"/>
              </w:rPr>
              <w:t xml:space="preserve">     Entrega de productos de higiene personal, mascarillas y alimentos, entre </w:t>
            </w:r>
            <w:r>
              <w:rPr>
                <w:rFonts w:ascii="Arial" w:hAnsi="Arial" w:cs="Arial"/>
                <w:bCs/>
                <w:i/>
                <w:iCs/>
                <w:sz w:val="20"/>
                <w:szCs w:val="20"/>
                <w:lang w:val="es-ES"/>
              </w:rPr>
              <w:t xml:space="preserve">otros, fue posible gracias a donaciones de organismos de Naciones Unidas por más de </w:t>
            </w:r>
            <w:r>
              <w:rPr>
                <w:rFonts w:ascii="Arial" w:hAnsi="Arial" w:cs="Arial"/>
                <w:bCs/>
                <w:i/>
                <w:iCs/>
                <w:sz w:val="20"/>
                <w:szCs w:val="20"/>
                <w:lang w:val="es-ES"/>
              </w:rPr>
              <w:t>₡</w:t>
            </w:r>
            <w:r>
              <w:rPr>
                <w:rFonts w:ascii="Arial" w:hAnsi="Arial" w:cs="Arial"/>
                <w:bCs/>
                <w:i/>
                <w:iCs/>
                <w:sz w:val="20"/>
                <w:szCs w:val="20"/>
                <w:lang w:val="es-ES"/>
              </w:rPr>
              <w:t>75 millones.</w:t>
            </w:r>
          </w:p>
          <w:p w:rsidR="00000000" w:rsidRDefault="000D58C4">
            <w:pPr>
              <w:spacing w:after="0" w:line="276" w:lineRule="auto"/>
              <w:ind w:left="436"/>
              <w:jc w:val="both"/>
              <w:rPr>
                <w:rFonts w:ascii="Arial" w:hAnsi="Arial" w:cs="Arial"/>
                <w:bCs/>
                <w:i/>
                <w:iCs/>
                <w:sz w:val="20"/>
                <w:szCs w:val="20"/>
                <w:lang w:val="es-ES"/>
              </w:rPr>
            </w:pPr>
            <w:r>
              <w:rPr>
                <w:rFonts w:ascii="Arial" w:hAnsi="Arial" w:cs="Arial"/>
                <w:bCs/>
                <w:i/>
                <w:iCs/>
                <w:sz w:val="20"/>
                <w:szCs w:val="20"/>
                <w:lang w:val="es-ES"/>
              </w:rPr>
              <w:t xml:space="preserve"> </w:t>
            </w:r>
          </w:p>
          <w:p w:rsidR="00000000" w:rsidRDefault="000D58C4">
            <w:pPr>
              <w:spacing w:after="0" w:line="240" w:lineRule="auto"/>
              <w:ind w:left="436"/>
              <w:jc w:val="both"/>
              <w:rPr>
                <w:rFonts w:ascii="Arial" w:hAnsi="Arial" w:cs="Arial"/>
                <w:bCs/>
                <w:i/>
                <w:iCs/>
                <w:sz w:val="20"/>
                <w:szCs w:val="20"/>
                <w:lang w:val="es-ES"/>
              </w:rPr>
            </w:pPr>
            <w:r>
              <w:rPr>
                <w:rFonts w:ascii="Arial" w:hAnsi="Arial" w:cs="Arial"/>
                <w:bCs/>
                <w:i/>
                <w:iCs/>
                <w:sz w:val="20"/>
                <w:szCs w:val="20"/>
                <w:lang w:val="es-ES"/>
              </w:rPr>
              <w:t>●</w:t>
            </w:r>
            <w:r>
              <w:rPr>
                <w:rFonts w:ascii="Arial" w:hAnsi="Arial" w:cs="Arial"/>
                <w:bCs/>
                <w:i/>
                <w:iCs/>
                <w:sz w:val="20"/>
                <w:szCs w:val="20"/>
                <w:lang w:val="es-ES"/>
              </w:rPr>
              <w:t xml:space="preserve">     Como parte de la atención y prevención del COVID-19, se han dado 200 capacitaciones en los 24 territorios indígenas.</w:t>
            </w:r>
          </w:p>
          <w:p w:rsidR="00000000" w:rsidRDefault="000D58C4">
            <w:pPr>
              <w:spacing w:after="0" w:line="276" w:lineRule="auto"/>
              <w:ind w:left="436"/>
              <w:jc w:val="both"/>
              <w:rPr>
                <w:rFonts w:ascii="Arial" w:hAnsi="Arial" w:cs="Arial"/>
                <w:bCs/>
                <w:i/>
                <w:iCs/>
                <w:sz w:val="20"/>
                <w:szCs w:val="20"/>
                <w:lang w:val="es-ES"/>
              </w:rPr>
            </w:pPr>
            <w:r>
              <w:rPr>
                <w:rFonts w:ascii="Arial" w:hAnsi="Arial" w:cs="Arial"/>
                <w:bCs/>
                <w:i/>
                <w:iCs/>
                <w:sz w:val="20"/>
                <w:szCs w:val="20"/>
                <w:lang w:val="es-ES"/>
              </w:rPr>
              <w:t xml:space="preserve"> </w:t>
            </w:r>
          </w:p>
          <w:p w:rsidR="00000000" w:rsidRDefault="000D58C4">
            <w:pPr>
              <w:spacing w:after="0" w:line="240" w:lineRule="auto"/>
              <w:ind w:left="436"/>
              <w:jc w:val="both"/>
              <w:rPr>
                <w:rFonts w:ascii="Arial" w:hAnsi="Arial" w:cs="Arial"/>
                <w:bCs/>
                <w:i/>
                <w:iCs/>
                <w:sz w:val="20"/>
                <w:szCs w:val="20"/>
                <w:lang w:val="es-ES"/>
              </w:rPr>
            </w:pPr>
            <w:r>
              <w:rPr>
                <w:rFonts w:ascii="Arial" w:hAnsi="Arial" w:cs="Arial"/>
                <w:bCs/>
                <w:i/>
                <w:iCs/>
                <w:sz w:val="20"/>
                <w:szCs w:val="20"/>
                <w:lang w:val="es-ES"/>
              </w:rPr>
              <w:t>●</w:t>
            </w:r>
            <w:r>
              <w:rPr>
                <w:rFonts w:ascii="Arial" w:hAnsi="Arial" w:cs="Arial"/>
                <w:bCs/>
                <w:i/>
                <w:iCs/>
                <w:sz w:val="20"/>
                <w:szCs w:val="20"/>
                <w:lang w:val="es-ES"/>
              </w:rPr>
              <w:t xml:space="preserve">     Asimismo, se han conforma</w:t>
            </w:r>
            <w:r>
              <w:rPr>
                <w:rFonts w:ascii="Arial" w:hAnsi="Arial" w:cs="Arial"/>
                <w:bCs/>
                <w:i/>
                <w:iCs/>
                <w:sz w:val="20"/>
                <w:szCs w:val="20"/>
                <w:lang w:val="es-ES"/>
              </w:rPr>
              <w:t>do comités locales y se han trabajado campañas para prevenir la infección, con materiales traducidos al cabécar, bribri, ngäbe y maleku.</w:t>
            </w:r>
          </w:p>
          <w:p w:rsidR="00000000" w:rsidRDefault="000D58C4">
            <w:pPr>
              <w:spacing w:after="0" w:line="276" w:lineRule="auto"/>
              <w:ind w:left="436"/>
              <w:jc w:val="both"/>
              <w:rPr>
                <w:rFonts w:ascii="Arial" w:hAnsi="Arial" w:cs="Arial"/>
                <w:bCs/>
                <w:i/>
                <w:iCs/>
                <w:sz w:val="20"/>
                <w:szCs w:val="20"/>
                <w:lang w:val="es-ES"/>
              </w:rPr>
            </w:pPr>
            <w:r>
              <w:rPr>
                <w:rFonts w:ascii="Arial" w:hAnsi="Arial" w:cs="Arial"/>
                <w:bCs/>
                <w:i/>
                <w:iCs/>
                <w:sz w:val="20"/>
                <w:szCs w:val="20"/>
                <w:lang w:val="es-ES"/>
              </w:rPr>
              <w:t xml:space="preserve"> </w:t>
            </w:r>
          </w:p>
          <w:p w:rsidR="00000000" w:rsidRDefault="000D58C4">
            <w:pPr>
              <w:spacing w:after="240" w:line="240" w:lineRule="auto"/>
              <w:ind w:left="436"/>
              <w:jc w:val="both"/>
              <w:rPr>
                <w:rFonts w:ascii="Arial" w:hAnsi="Arial" w:cs="Arial"/>
                <w:bCs/>
                <w:i/>
                <w:iCs/>
                <w:sz w:val="20"/>
                <w:szCs w:val="20"/>
                <w:lang w:val="es-ES"/>
              </w:rPr>
            </w:pPr>
            <w:r>
              <w:rPr>
                <w:rFonts w:ascii="Arial" w:hAnsi="Arial" w:cs="Arial"/>
                <w:bCs/>
                <w:i/>
                <w:iCs/>
                <w:sz w:val="20"/>
                <w:szCs w:val="20"/>
                <w:lang w:val="es-ES"/>
              </w:rPr>
              <w:lastRenderedPageBreak/>
              <w:t>●</w:t>
            </w:r>
            <w:r>
              <w:rPr>
                <w:rFonts w:ascii="Arial" w:hAnsi="Arial" w:cs="Arial"/>
                <w:bCs/>
                <w:i/>
                <w:iCs/>
                <w:sz w:val="20"/>
                <w:szCs w:val="20"/>
                <w:lang w:val="es-ES"/>
              </w:rPr>
              <w:t xml:space="preserve">     “Abordaje se realiza con un plan fijado en la colaboración comunitaria, mecanismos de prevención, atención de i</w:t>
            </w:r>
            <w:r>
              <w:rPr>
                <w:rFonts w:ascii="Arial" w:hAnsi="Arial" w:cs="Arial"/>
                <w:bCs/>
                <w:i/>
                <w:iCs/>
                <w:sz w:val="20"/>
                <w:szCs w:val="20"/>
                <w:lang w:val="es-ES"/>
              </w:rPr>
              <w:t>nfectados y planeamiento para la reactivación económica desde la economía indígena”, destacó viceministro de la Presidencia.</w:t>
            </w:r>
          </w:p>
          <w:p w:rsidR="00000000" w:rsidRDefault="000D58C4">
            <w:pPr>
              <w:pStyle w:val="Prrafodelista"/>
              <w:spacing w:after="0" w:line="240" w:lineRule="auto"/>
              <w:rPr>
                <w:rFonts w:ascii="Arial" w:hAnsi="Arial" w:cs="Arial"/>
                <w:bCs/>
                <w:i/>
                <w:iCs/>
                <w:sz w:val="20"/>
                <w:szCs w:val="20"/>
                <w:lang w:val="es-ES"/>
              </w:rPr>
            </w:pPr>
          </w:p>
          <w:p w:rsidR="00000000" w:rsidRDefault="000D58C4">
            <w:pPr>
              <w:spacing w:after="240" w:line="276" w:lineRule="auto"/>
              <w:jc w:val="both"/>
              <w:rPr>
                <w:rFonts w:ascii="Arial" w:hAnsi="Arial" w:cs="Arial"/>
                <w:color w:val="000000" w:themeColor="text1"/>
                <w:sz w:val="24"/>
                <w:lang w:val="es-ES"/>
              </w:rPr>
            </w:pPr>
            <w:r>
              <w:rPr>
                <w:rFonts w:ascii="Arial" w:hAnsi="Arial" w:cs="Arial"/>
                <w:b/>
                <w:i/>
                <w:color w:val="000000" w:themeColor="text1"/>
                <w:sz w:val="20"/>
                <w:lang w:val="es-ES"/>
              </w:rPr>
              <w:t>San José, 25 de enero de 2020</w:t>
            </w:r>
            <w:r>
              <w:rPr>
                <w:rFonts w:ascii="Arial" w:hAnsi="Arial" w:cs="Arial"/>
                <w:color w:val="000000" w:themeColor="text1"/>
                <w:sz w:val="24"/>
                <w:lang w:val="es-ES"/>
              </w:rPr>
              <w:t>. Con el respaldo de organizaciones internacionales, el Gobierno ha logrado asegurar la asistencia humanitaria en los territorios indígenas de Costa Rica para atender y prevenir la emergencia sanitaria por COVID-19.</w:t>
            </w:r>
          </w:p>
          <w:p w:rsidR="00000000" w:rsidRDefault="000D58C4">
            <w:pPr>
              <w:spacing w:after="240" w:line="276" w:lineRule="auto"/>
              <w:jc w:val="both"/>
              <w:rPr>
                <w:rFonts w:ascii="Arial" w:hAnsi="Arial" w:cs="Arial"/>
                <w:color w:val="000000" w:themeColor="text1"/>
                <w:sz w:val="24"/>
                <w:lang w:val="es-ES"/>
              </w:rPr>
            </w:pPr>
            <w:r>
              <w:rPr>
                <w:rFonts w:ascii="Arial" w:hAnsi="Arial" w:cs="Arial"/>
                <w:color w:val="000000" w:themeColor="text1"/>
                <w:sz w:val="24"/>
                <w:lang w:val="es-ES"/>
              </w:rPr>
              <w:t xml:space="preserve">El total de donaciones ha sido estimado </w:t>
            </w:r>
            <w:r>
              <w:rPr>
                <w:rFonts w:ascii="Arial" w:hAnsi="Arial" w:cs="Arial"/>
                <w:color w:val="000000" w:themeColor="text1"/>
                <w:sz w:val="24"/>
                <w:lang w:val="es-ES"/>
              </w:rPr>
              <w:t xml:space="preserve">en más de </w:t>
            </w:r>
            <w:r>
              <w:rPr>
                <w:rFonts w:ascii="Arial" w:hAnsi="Arial" w:cs="Arial"/>
                <w:color w:val="000000" w:themeColor="text1"/>
                <w:sz w:val="24"/>
                <w:lang w:val="es-ES"/>
              </w:rPr>
              <w:t>₡</w:t>
            </w:r>
            <w:r>
              <w:rPr>
                <w:rFonts w:ascii="Arial" w:hAnsi="Arial" w:cs="Arial"/>
                <w:color w:val="000000" w:themeColor="text1"/>
                <w:sz w:val="24"/>
                <w:lang w:val="es-ES"/>
              </w:rPr>
              <w:t>75 millones reflejados en 284.202 insumos de higiene personal y tecnología, fruto de alianzas con la Organización Mundial de la Salud (OMS), Organización Panamericana de la Salud (OPS), Alto Comisionado de las Naciones Unidas para los Refugiados</w:t>
            </w:r>
            <w:r>
              <w:rPr>
                <w:rFonts w:ascii="Arial" w:hAnsi="Arial" w:cs="Arial"/>
                <w:color w:val="000000" w:themeColor="text1"/>
                <w:sz w:val="24"/>
                <w:lang w:val="es-ES"/>
              </w:rPr>
              <w:t xml:space="preserve"> (ACNUR), la Organización Internacional del Trabajo, el Fondo de las Naciones Unidas para la Infancia (UNICEF) y el Fondo de Población de las Naciones Unidas (UNFPA).</w:t>
            </w:r>
          </w:p>
          <w:p w:rsidR="00000000" w:rsidRDefault="000D58C4">
            <w:pPr>
              <w:spacing w:after="240" w:line="276" w:lineRule="auto"/>
              <w:jc w:val="center"/>
              <w:rPr>
                <w:rFonts w:ascii="Arial" w:hAnsi="Arial" w:cs="Arial"/>
                <w:color w:val="000000" w:themeColor="text1"/>
                <w:sz w:val="24"/>
                <w:lang w:val="es-ES"/>
              </w:rPr>
            </w:pPr>
            <w:r>
              <w:rPr>
                <w:rFonts w:ascii="Arial" w:hAnsi="Arial" w:cs="Arial"/>
                <w:noProof/>
                <w:color w:val="000000" w:themeColor="text1"/>
                <w:sz w:val="24"/>
                <w:lang w:val="es-ES"/>
              </w:rPr>
              <w:drawing>
                <wp:inline distT="0" distB="0" distL="0" distR="0">
                  <wp:extent cx="6989445" cy="5231765"/>
                  <wp:effectExtent l="0" t="0" r="1905" b="6985"/>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9445" cy="5231765"/>
                          </a:xfrm>
                          <a:prstGeom prst="rect">
                            <a:avLst/>
                          </a:prstGeom>
                          <a:noFill/>
                          <a:ln>
                            <a:noFill/>
                          </a:ln>
                        </pic:spPr>
                      </pic:pic>
                    </a:graphicData>
                  </a:graphic>
                </wp:inline>
              </w:drawing>
            </w:r>
          </w:p>
          <w:p w:rsidR="00000000" w:rsidRDefault="000D58C4">
            <w:pPr>
              <w:spacing w:after="240" w:line="276" w:lineRule="auto"/>
              <w:jc w:val="both"/>
              <w:rPr>
                <w:rFonts w:ascii="Arial" w:hAnsi="Arial" w:cs="Arial"/>
                <w:color w:val="000000" w:themeColor="text1"/>
                <w:sz w:val="24"/>
                <w:lang w:val="es-ES"/>
              </w:rPr>
            </w:pPr>
            <w:r>
              <w:rPr>
                <w:rFonts w:ascii="Arial" w:hAnsi="Arial" w:cs="Arial"/>
                <w:color w:val="000000" w:themeColor="text1"/>
                <w:sz w:val="24"/>
                <w:lang w:val="es-ES"/>
              </w:rPr>
              <w:lastRenderedPageBreak/>
              <w:t>Entre los insumos que han sido entregados se encuentran mascarillas desechables, desinf</w:t>
            </w:r>
            <w:r>
              <w:rPr>
                <w:rFonts w:ascii="Arial" w:hAnsi="Arial" w:cs="Arial"/>
                <w:color w:val="000000" w:themeColor="text1"/>
                <w:sz w:val="24"/>
                <w:lang w:val="es-ES"/>
              </w:rPr>
              <w:t>ectante, jabones, botas de hule, alcohol, guantes, cloro, papel higiénico, caretas y ropa.</w:t>
            </w:r>
          </w:p>
          <w:p w:rsidR="00000000" w:rsidRDefault="000D58C4">
            <w:pPr>
              <w:spacing w:after="240" w:line="276" w:lineRule="auto"/>
              <w:jc w:val="both"/>
              <w:rPr>
                <w:rFonts w:ascii="Arial" w:hAnsi="Arial" w:cs="Arial"/>
                <w:color w:val="000000" w:themeColor="text1"/>
                <w:sz w:val="24"/>
                <w:lang w:val="es-ES"/>
              </w:rPr>
            </w:pPr>
            <w:r>
              <w:rPr>
                <w:rFonts w:ascii="Arial" w:hAnsi="Arial" w:cs="Arial"/>
                <w:color w:val="000000" w:themeColor="text1"/>
                <w:sz w:val="24"/>
                <w:lang w:val="es-ES"/>
              </w:rPr>
              <w:t>Abordaje integral desde marzo. El abordaje de la pandemia para estos pueblos se realizó desde el primer caso detectado en el país el 6 de marzo, con un plan de traba</w:t>
            </w:r>
            <w:r>
              <w:rPr>
                <w:rFonts w:ascii="Arial" w:hAnsi="Arial" w:cs="Arial"/>
                <w:color w:val="000000" w:themeColor="text1"/>
                <w:sz w:val="24"/>
                <w:lang w:val="es-ES"/>
              </w:rPr>
              <w:t xml:space="preserve">jo fijado en la colaboración comunitaria, mecanismos de prevención de la covid-19, atención de infectados y planeamiento para la reactivación económica desde la economía indígena. </w:t>
            </w:r>
          </w:p>
          <w:p w:rsidR="00000000" w:rsidRDefault="000D58C4">
            <w:pPr>
              <w:spacing w:after="240" w:line="276" w:lineRule="auto"/>
              <w:jc w:val="both"/>
              <w:rPr>
                <w:rFonts w:ascii="Arial" w:hAnsi="Arial" w:cs="Arial"/>
                <w:color w:val="000000" w:themeColor="text1"/>
                <w:sz w:val="24"/>
                <w:lang w:val="es-ES"/>
              </w:rPr>
            </w:pPr>
            <w:r>
              <w:rPr>
                <w:rFonts w:ascii="Arial" w:hAnsi="Arial" w:cs="Arial"/>
                <w:color w:val="000000" w:themeColor="text1"/>
                <w:sz w:val="24"/>
                <w:lang w:val="es-ES"/>
              </w:rPr>
              <w:t>Además, estos territorios fueron incluidos dentro del programa del Bono Pro</w:t>
            </w:r>
            <w:r>
              <w:rPr>
                <w:rFonts w:ascii="Arial" w:hAnsi="Arial" w:cs="Arial"/>
                <w:color w:val="000000" w:themeColor="text1"/>
                <w:sz w:val="24"/>
                <w:lang w:val="es-ES"/>
              </w:rPr>
              <w:t>teger.</w:t>
            </w:r>
          </w:p>
          <w:p w:rsidR="00000000" w:rsidRDefault="000D58C4">
            <w:pPr>
              <w:spacing w:after="240" w:line="276" w:lineRule="auto"/>
              <w:jc w:val="center"/>
              <w:rPr>
                <w:rFonts w:ascii="Arial" w:hAnsi="Arial" w:cs="Arial"/>
                <w:color w:val="000000" w:themeColor="text1"/>
                <w:sz w:val="24"/>
                <w:lang w:val="es-ES"/>
              </w:rPr>
            </w:pPr>
            <w:r>
              <w:rPr>
                <w:rFonts w:ascii="Arial" w:hAnsi="Arial" w:cs="Arial"/>
                <w:noProof/>
                <w:color w:val="000000" w:themeColor="text1"/>
                <w:sz w:val="24"/>
                <w:lang w:val="es-ES"/>
              </w:rPr>
              <w:drawing>
                <wp:inline distT="0" distB="0" distL="0" distR="0">
                  <wp:extent cx="7927340" cy="5947410"/>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27340" cy="5947410"/>
                          </a:xfrm>
                          <a:prstGeom prst="rect">
                            <a:avLst/>
                          </a:prstGeom>
                          <a:noFill/>
                          <a:ln>
                            <a:noFill/>
                          </a:ln>
                        </pic:spPr>
                      </pic:pic>
                    </a:graphicData>
                  </a:graphic>
                </wp:inline>
              </w:drawing>
            </w:r>
          </w:p>
          <w:p w:rsidR="00000000" w:rsidRDefault="000D58C4">
            <w:pPr>
              <w:spacing w:after="240" w:line="276" w:lineRule="auto"/>
              <w:jc w:val="both"/>
              <w:rPr>
                <w:rFonts w:ascii="Arial" w:hAnsi="Arial" w:cs="Arial"/>
                <w:color w:val="000000" w:themeColor="text1"/>
                <w:sz w:val="24"/>
                <w:lang w:val="es-ES"/>
              </w:rPr>
            </w:pPr>
            <w:r>
              <w:rPr>
                <w:rFonts w:ascii="Arial" w:hAnsi="Arial" w:cs="Arial"/>
                <w:color w:val="000000" w:themeColor="text1"/>
                <w:sz w:val="24"/>
                <w:lang w:val="es-ES"/>
              </w:rPr>
              <w:t>El desarrollo de este plan se elaboró con la gestión del Ministerio de Salud, la Caja Costarricense del Seguro Social, la Comisión Nacional de Emergencias, el Ministerio de Educación Pública, Acueductos y Alcantarillados, la Comisión Nacional de A</w:t>
            </w:r>
            <w:r>
              <w:rPr>
                <w:rFonts w:ascii="Arial" w:hAnsi="Arial" w:cs="Arial"/>
                <w:color w:val="000000" w:themeColor="text1"/>
                <w:sz w:val="24"/>
                <w:lang w:val="es-ES"/>
              </w:rPr>
              <w:t xml:space="preserve">suntos Indígenas y el Ministerio de Justicia y Paz. </w:t>
            </w:r>
          </w:p>
          <w:p w:rsidR="00000000" w:rsidRDefault="000D58C4">
            <w:pPr>
              <w:spacing w:after="240" w:line="276" w:lineRule="auto"/>
              <w:jc w:val="both"/>
              <w:rPr>
                <w:rFonts w:ascii="Arial" w:hAnsi="Arial" w:cs="Arial"/>
                <w:color w:val="000000" w:themeColor="text1"/>
                <w:sz w:val="24"/>
                <w:lang w:val="es-ES"/>
              </w:rPr>
            </w:pPr>
            <w:r>
              <w:rPr>
                <w:rFonts w:ascii="Arial" w:hAnsi="Arial" w:cs="Arial"/>
                <w:color w:val="000000" w:themeColor="text1"/>
                <w:sz w:val="24"/>
                <w:lang w:val="es-ES"/>
              </w:rPr>
              <w:t>Gracias a esta hoja de ruta, estos territorios han recibido paquetes de alimentación y protección sanitaria. También, el plan ha permitido la conformación de comités locales y la producción de campañas p</w:t>
            </w:r>
            <w:r>
              <w:rPr>
                <w:rFonts w:ascii="Arial" w:hAnsi="Arial" w:cs="Arial"/>
                <w:color w:val="000000" w:themeColor="text1"/>
                <w:sz w:val="24"/>
                <w:lang w:val="es-ES"/>
              </w:rPr>
              <w:t>ara prevenir la infección, con materiales que han sido traducidos a idiomas cabécar, bribri, ngäbe y maleku.</w:t>
            </w:r>
          </w:p>
          <w:p w:rsidR="00000000" w:rsidRDefault="000D58C4">
            <w:pPr>
              <w:spacing w:after="240" w:line="276" w:lineRule="auto"/>
              <w:jc w:val="both"/>
              <w:rPr>
                <w:rFonts w:ascii="Arial" w:hAnsi="Arial" w:cs="Arial"/>
                <w:color w:val="000000" w:themeColor="text1"/>
                <w:sz w:val="24"/>
                <w:lang w:val="es-ES"/>
              </w:rPr>
            </w:pPr>
            <w:r>
              <w:rPr>
                <w:rFonts w:ascii="Arial" w:hAnsi="Arial" w:cs="Arial"/>
                <w:color w:val="000000" w:themeColor="text1"/>
                <w:sz w:val="24"/>
                <w:lang w:val="es-ES"/>
              </w:rPr>
              <w:t>En total, se han realizado 200 capacitaciones en los 24 territorios indígenas del país.</w:t>
            </w:r>
          </w:p>
          <w:p w:rsidR="00000000" w:rsidRDefault="000D58C4">
            <w:pPr>
              <w:spacing w:after="0" w:line="276" w:lineRule="auto"/>
              <w:jc w:val="both"/>
              <w:rPr>
                <w:rFonts w:ascii="Arial" w:hAnsi="Arial" w:cs="Arial"/>
                <w:color w:val="000000" w:themeColor="text1"/>
                <w:sz w:val="24"/>
                <w:lang w:val="es-ES"/>
              </w:rPr>
            </w:pPr>
            <w:r>
              <w:rPr>
                <w:rFonts w:ascii="Arial" w:hAnsi="Arial" w:cs="Arial"/>
                <w:color w:val="000000" w:themeColor="text1"/>
                <w:sz w:val="24"/>
                <w:lang w:val="es-ES"/>
              </w:rPr>
              <w:t>“Creemos importante destacar cómo se ha desarrollado el abo</w:t>
            </w:r>
            <w:r>
              <w:rPr>
                <w:rFonts w:ascii="Arial" w:hAnsi="Arial" w:cs="Arial"/>
                <w:color w:val="000000" w:themeColor="text1"/>
                <w:sz w:val="24"/>
                <w:lang w:val="es-ES"/>
              </w:rPr>
              <w:t>rdaje de la atención a estos territorios. Una de las piedras angulares de esta coordinación interinstitucional ha sido la participación comunitaria para establecer comités de atención en los territorios, que han sido los enlaces en las comunidades para lle</w:t>
            </w:r>
            <w:r>
              <w:rPr>
                <w:rFonts w:ascii="Arial" w:hAnsi="Arial" w:cs="Arial"/>
                <w:color w:val="000000" w:themeColor="text1"/>
                <w:sz w:val="24"/>
                <w:lang w:val="es-ES"/>
              </w:rPr>
              <w:t xml:space="preserve">var los mensajes, articular acciones y ejecutar planes de trabajo para intervenir a cada comunidad”, señaló Randall Otárola, viceministro de Asuntos Políticos y Diálogo Ciudadano del Ministerio de la Presidencia. </w:t>
            </w:r>
          </w:p>
          <w:p w:rsidR="00000000" w:rsidRDefault="000D58C4">
            <w:pPr>
              <w:spacing w:after="0" w:line="276" w:lineRule="auto"/>
              <w:jc w:val="both"/>
              <w:rPr>
                <w:rFonts w:ascii="Arial" w:hAnsi="Arial" w:cs="Arial"/>
                <w:color w:val="000000" w:themeColor="text1"/>
                <w:sz w:val="24"/>
                <w:lang w:val="es-ES"/>
              </w:rPr>
            </w:pPr>
            <w:r>
              <w:rPr>
                <w:rFonts w:ascii="Arial" w:hAnsi="Arial" w:cs="Arial"/>
                <w:color w:val="000000" w:themeColor="text1"/>
                <w:sz w:val="24"/>
                <w:lang w:val="es-ES"/>
              </w:rPr>
              <w:t xml:space="preserve"> </w:t>
            </w:r>
          </w:p>
          <w:p w:rsidR="00000000" w:rsidRDefault="000D58C4">
            <w:pPr>
              <w:spacing w:after="0" w:line="276" w:lineRule="auto"/>
              <w:jc w:val="both"/>
              <w:rPr>
                <w:rFonts w:ascii="Arial" w:hAnsi="Arial" w:cs="Arial"/>
                <w:color w:val="000000" w:themeColor="text1"/>
                <w:sz w:val="24"/>
                <w:lang w:val="es-ES"/>
              </w:rPr>
            </w:pPr>
            <w:r>
              <w:rPr>
                <w:rFonts w:ascii="Arial" w:hAnsi="Arial" w:cs="Arial"/>
                <w:color w:val="000000" w:themeColor="text1"/>
                <w:sz w:val="24"/>
                <w:lang w:val="es-ES"/>
              </w:rPr>
              <w:t xml:space="preserve">Por ejemplo, en el cantón de Talamanca, </w:t>
            </w:r>
            <w:r>
              <w:rPr>
                <w:rFonts w:ascii="Arial" w:hAnsi="Arial" w:cs="Arial"/>
                <w:color w:val="000000" w:themeColor="text1"/>
                <w:sz w:val="24"/>
                <w:lang w:val="es-ES"/>
              </w:rPr>
              <w:t xml:space="preserve">la estrategia se desarrolló a través de la Red Indígena Bribri Cabécar (RIBCA), que generó comités para crear grupos de trabajo en las comunidades pertinentes.  </w:t>
            </w:r>
          </w:p>
          <w:p w:rsidR="00000000" w:rsidRDefault="000D58C4">
            <w:pPr>
              <w:spacing w:after="0" w:line="276" w:lineRule="auto"/>
              <w:jc w:val="both"/>
              <w:rPr>
                <w:rFonts w:ascii="Arial" w:hAnsi="Arial" w:cs="Arial"/>
                <w:color w:val="000000" w:themeColor="text1"/>
                <w:sz w:val="24"/>
                <w:lang w:val="es-ES"/>
              </w:rPr>
            </w:pPr>
          </w:p>
          <w:p w:rsidR="00000000" w:rsidRDefault="000D58C4">
            <w:pPr>
              <w:spacing w:after="0" w:line="276" w:lineRule="auto"/>
              <w:jc w:val="center"/>
              <w:rPr>
                <w:rFonts w:ascii="Arial" w:hAnsi="Arial" w:cs="Arial"/>
                <w:color w:val="000000" w:themeColor="text1"/>
                <w:sz w:val="24"/>
                <w:lang w:val="es-ES"/>
              </w:rPr>
            </w:pPr>
            <w:r>
              <w:rPr>
                <w:rFonts w:ascii="Arial" w:hAnsi="Arial" w:cs="Arial"/>
                <w:noProof/>
                <w:color w:val="000000" w:themeColor="text1"/>
                <w:sz w:val="24"/>
                <w:lang w:val="es-ES"/>
              </w:rPr>
              <w:drawing>
                <wp:inline distT="0" distB="0" distL="0" distR="0">
                  <wp:extent cx="6822440" cy="5104765"/>
                  <wp:effectExtent l="0" t="0" r="0" b="635"/>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2440" cy="5104765"/>
                          </a:xfrm>
                          <a:prstGeom prst="rect">
                            <a:avLst/>
                          </a:prstGeom>
                          <a:noFill/>
                          <a:ln>
                            <a:noFill/>
                          </a:ln>
                        </pic:spPr>
                      </pic:pic>
                    </a:graphicData>
                  </a:graphic>
                </wp:inline>
              </w:drawing>
            </w:r>
          </w:p>
          <w:p w:rsidR="00000000" w:rsidRDefault="000D58C4">
            <w:pPr>
              <w:spacing w:after="0" w:line="276" w:lineRule="auto"/>
              <w:jc w:val="both"/>
              <w:rPr>
                <w:rFonts w:ascii="Arial" w:hAnsi="Arial" w:cs="Arial"/>
                <w:color w:val="000000" w:themeColor="text1"/>
                <w:sz w:val="24"/>
                <w:lang w:val="es-ES"/>
              </w:rPr>
            </w:pPr>
            <w:r>
              <w:rPr>
                <w:rFonts w:ascii="Arial" w:hAnsi="Arial" w:cs="Arial"/>
                <w:color w:val="000000" w:themeColor="text1"/>
                <w:sz w:val="24"/>
                <w:lang w:val="es-ES"/>
              </w:rPr>
              <w:t xml:space="preserve"> </w:t>
            </w:r>
          </w:p>
          <w:p w:rsidR="00000000" w:rsidRDefault="000D58C4">
            <w:pPr>
              <w:spacing w:after="0" w:line="276" w:lineRule="auto"/>
              <w:jc w:val="both"/>
              <w:rPr>
                <w:rFonts w:ascii="Arial" w:hAnsi="Arial" w:cs="Arial"/>
                <w:color w:val="000000" w:themeColor="text1"/>
                <w:sz w:val="24"/>
                <w:lang w:val="es-ES"/>
              </w:rPr>
            </w:pPr>
            <w:r>
              <w:rPr>
                <w:rFonts w:ascii="Arial" w:hAnsi="Arial" w:cs="Arial"/>
                <w:color w:val="000000" w:themeColor="text1"/>
                <w:sz w:val="24"/>
                <w:lang w:val="es-ES"/>
              </w:rPr>
              <w:t>En estas comunidades se han articulado programas de información sobre el covid-19 para la población, además las autoridades han brindado un acompañamiento oportuno, como la aplicación de tamizajes en circunstancias de brote, incluso en sectores con complej</w:t>
            </w:r>
            <w:r>
              <w:rPr>
                <w:rFonts w:ascii="Arial" w:hAnsi="Arial" w:cs="Arial"/>
                <w:color w:val="000000" w:themeColor="text1"/>
                <w:sz w:val="24"/>
                <w:lang w:val="es-ES"/>
              </w:rPr>
              <w:t>idades de acceso como Telire y Alto Chirripó.</w:t>
            </w:r>
          </w:p>
          <w:p w:rsidR="00000000" w:rsidRDefault="000D58C4">
            <w:pPr>
              <w:spacing w:after="0" w:line="276" w:lineRule="auto"/>
              <w:jc w:val="both"/>
              <w:rPr>
                <w:rFonts w:ascii="Arial" w:hAnsi="Arial" w:cs="Arial"/>
                <w:color w:val="000000" w:themeColor="text1"/>
                <w:sz w:val="24"/>
                <w:lang w:val="es-ES"/>
              </w:rPr>
            </w:pPr>
            <w:r>
              <w:rPr>
                <w:rFonts w:ascii="Arial" w:hAnsi="Arial" w:cs="Arial"/>
                <w:color w:val="000000" w:themeColor="text1"/>
                <w:sz w:val="24"/>
                <w:lang w:val="es-ES"/>
              </w:rPr>
              <w:t xml:space="preserve"> </w:t>
            </w:r>
          </w:p>
          <w:p w:rsidR="00000000" w:rsidRDefault="000D58C4">
            <w:pPr>
              <w:spacing w:after="0" w:line="276" w:lineRule="auto"/>
              <w:jc w:val="both"/>
              <w:rPr>
                <w:rFonts w:ascii="Arial" w:hAnsi="Arial" w:cs="Arial"/>
                <w:color w:val="000000" w:themeColor="text1"/>
                <w:sz w:val="24"/>
                <w:lang w:val="es-ES"/>
              </w:rPr>
            </w:pPr>
            <w:r>
              <w:rPr>
                <w:rFonts w:ascii="Arial" w:hAnsi="Arial" w:cs="Arial"/>
                <w:color w:val="000000" w:themeColor="text1"/>
                <w:sz w:val="24"/>
                <w:lang w:val="es-ES"/>
              </w:rPr>
              <w:t xml:space="preserve">Según los últimos registros, al 13 de enero, el país tuvo 1778 infectados en territorios indígenas. De esta cantidad, 26 personas han fallecido. </w:t>
            </w:r>
          </w:p>
          <w:p w:rsidR="00000000" w:rsidRDefault="000D58C4">
            <w:pPr>
              <w:spacing w:after="0" w:line="276" w:lineRule="auto"/>
              <w:jc w:val="both"/>
            </w:pPr>
            <w:r>
              <w:rPr>
                <w:lang w:val="es-ES"/>
              </w:rPr>
              <w:t xml:space="preserve"> </w:t>
            </w:r>
          </w:p>
          <w:p w:rsidR="00000000" w:rsidRDefault="000D58C4">
            <w:pPr>
              <w:jc w:val="both"/>
              <w:rPr>
                <w:rFonts w:ascii="Arial" w:hAnsi="Arial" w:cs="Arial"/>
                <w:sz w:val="24"/>
                <w:lang w:val="es-ES"/>
              </w:rPr>
            </w:pPr>
          </w:p>
        </w:tc>
        <w:tc>
          <w:tcPr>
            <w:tcW w:w="269" w:type="dxa"/>
            <w:tcBorders>
              <w:top w:val="single" w:sz="4" w:space="0" w:color="auto"/>
              <w:left w:val="single" w:sz="4" w:space="0" w:color="auto"/>
              <w:bottom w:val="single" w:sz="4" w:space="0" w:color="auto"/>
              <w:right w:val="single" w:sz="4" w:space="0" w:color="auto"/>
            </w:tcBorders>
          </w:tcPr>
          <w:p w:rsidR="00000000" w:rsidRDefault="000D58C4">
            <w:pPr>
              <w:spacing w:after="0" w:line="240" w:lineRule="auto"/>
              <w:jc w:val="center"/>
              <w:rPr>
                <w:bCs/>
                <w:color w:val="000000"/>
                <w:sz w:val="40"/>
                <w:szCs w:val="40"/>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0D58C4">
            <w:pPr>
              <w:spacing w:after="0" w:line="240" w:lineRule="auto"/>
              <w:jc w:val="center"/>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0D58C4">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0D58C4">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0D58C4">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0D58C4">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0D58C4">
            <w:pPr>
              <w:spacing w:after="0" w:line="240" w:lineRule="auto"/>
              <w:jc w:val="center"/>
              <w:rPr>
                <w:bCs/>
                <w:color w:val="000000"/>
                <w:sz w:val="40"/>
                <w:szCs w:val="40"/>
                <w:lang w:eastAsia="es-CR"/>
              </w:rPr>
            </w:pPr>
          </w:p>
        </w:tc>
      </w:tr>
    </w:tbl>
    <w:p w:rsidR="00000000" w:rsidRDefault="000D58C4">
      <w:pPr>
        <w:jc w:val="right"/>
        <w:rPr>
          <w:rFonts w:cstheme="minorHAnsi"/>
          <w:bCs/>
          <w:sz w:val="20"/>
          <w:szCs w:val="20"/>
        </w:rPr>
      </w:pPr>
    </w:p>
    <w:sectPr w:rsidR="00000000">
      <w:headerReference w:type="default" r:id="rId12"/>
      <w:pgSz w:w="11907" w:h="16839"/>
      <w:pgMar w:top="1134" w:right="1134" w:bottom="1134" w:left="1134" w:header="426"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0D58C4">
      <w:pPr>
        <w:spacing w:after="0" w:line="240" w:lineRule="auto"/>
      </w:pPr>
      <w:r>
        <w:separator/>
      </w:r>
    </w:p>
  </w:endnote>
  <w:endnote w:type="continuationSeparator" w:id="0">
    <w:p w:rsidR="00000000" w:rsidRDefault="000D5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0D58C4">
      <w:pPr>
        <w:spacing w:after="0" w:line="240" w:lineRule="auto"/>
      </w:pPr>
      <w:r>
        <w:separator/>
      </w:r>
    </w:p>
  </w:footnote>
  <w:footnote w:type="continuationSeparator" w:id="0">
    <w:p w:rsidR="00000000" w:rsidRDefault="000D58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D58C4">
    <w:pPr>
      <w:pStyle w:val="Encabezado"/>
      <w:ind w:left="2124" w:right="618"/>
      <w:jc w:val="right"/>
      <w:rPr>
        <w:rFonts w:ascii="Times New Roman" w:hAnsi="Times New Roman" w:cs="Times New Roman"/>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381B84"/>
    <w:lvl w:ilvl="0">
      <w:start w:val="1"/>
      <w:numFmt w:val="bullet"/>
      <w:pStyle w:val="Listaconvietas"/>
      <w:lvlText w:val=""/>
      <w:lvlJc w:val="left"/>
      <w:pPr>
        <w:tabs>
          <w:tab w:val="num" w:pos="360"/>
        </w:tabs>
        <w:ind w:left="360" w:hanging="360"/>
      </w:pPr>
      <w:rPr>
        <w:rFonts w:ascii="Symbol" w:hAnsi="Symbol" w:hint="default"/>
      </w:rPr>
    </w:lvl>
  </w:abstractNum>
  <w:num w:numId="1" w16cid:durableId="903415266">
    <w:abstractNumId w:val="0"/>
  </w:num>
  <w:num w:numId="2" w16cid:durableId="1115560230">
    <w:abstractNumId w:val="0"/>
  </w:num>
  <w:num w:numId="3" w16cid:durableId="1843666234">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8C4"/>
    <w:rsid w:val="000D58C4"/>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Pr>
      <w:color w:val="0000FF"/>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semiHidden/>
    <w:rPr>
      <w:rFonts w:ascii="Times New Roman" w:hAnsi="Times New Roman" w:cs="Times New Roman"/>
      <w:sz w:val="24"/>
      <w:szCs w:val="24"/>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style>
  <w:style w:type="paragraph" w:styleId="Piedepgina">
    <w:name w:val="footer"/>
    <w:basedOn w:val="Normal"/>
    <w:link w:val="PiedepginaCar"/>
    <w:uiPriority w:val="99"/>
    <w:semiHidden/>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style>
  <w:style w:type="paragraph" w:styleId="Descripcin">
    <w:name w:val="caption"/>
    <w:basedOn w:val="Normal"/>
    <w:next w:val="Normal"/>
    <w:uiPriority w:val="99"/>
    <w:semiHidden/>
    <w:unhideWhenUsed/>
    <w:qFormat/>
    <w:pPr>
      <w:spacing w:after="0" w:line="240" w:lineRule="auto"/>
      <w:jc w:val="right"/>
    </w:pPr>
    <w:rPr>
      <w:rFonts w:ascii="Comic Sans MS" w:eastAsia="Times New Roman" w:hAnsi="Comic Sans MS" w:cs="Times New Roman"/>
      <w:b/>
      <w:i/>
      <w:sz w:val="24"/>
      <w:szCs w:val="20"/>
      <w:lang w:val="es-ES_tradnl" w:eastAsia="es-ES"/>
    </w:rPr>
  </w:style>
  <w:style w:type="paragraph" w:styleId="Listaconvietas">
    <w:name w:val="List Bullet"/>
    <w:basedOn w:val="Normal"/>
    <w:uiPriority w:val="99"/>
    <w:semiHidden/>
    <w:unhideWhenUsed/>
    <w:pPr>
      <w:numPr>
        <w:numId w:val="3"/>
      </w:numPr>
      <w:contextualSpacing/>
    </w:p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Pr>
      <w:rFonts w:ascii="Segoe UI" w:hAnsi="Segoe UI" w:cs="Segoe UI" w:hint="default"/>
      <w:sz w:val="18"/>
      <w:szCs w:val="18"/>
    </w:rPr>
  </w:style>
  <w:style w:type="paragraph" w:styleId="Sinespaciado">
    <w:name w:val="No Spacing"/>
    <w:uiPriority w:val="1"/>
    <w:semiHidden/>
    <w:qFormat/>
    <w:rPr>
      <w:sz w:val="22"/>
      <w:szCs w:val="22"/>
    </w:rPr>
  </w:style>
  <w:style w:type="paragraph" w:styleId="Prrafodelista">
    <w:name w:val="List Paragraph"/>
    <w:basedOn w:val="Normal"/>
    <w:uiPriority w:val="34"/>
    <w:semiHidden/>
    <w:qFormat/>
    <w:pPr>
      <w:ind w:left="720"/>
      <w:contextualSpacing/>
    </w:pPr>
  </w:style>
  <w:style w:type="paragraph" w:customStyle="1" w:styleId="Default">
    <w:name w:val="Default"/>
    <w:uiPriority w:val="99"/>
    <w:semiHidden/>
    <w:pPr>
      <w:autoSpaceDE w:val="0"/>
      <w:autoSpaceDN w:val="0"/>
      <w:adjustRightInd w:val="0"/>
    </w:pPr>
    <w:rPr>
      <w:rFonts w:ascii="Arial" w:hAnsi="Arial" w:cs="Arial"/>
      <w:color w:val="000000"/>
      <w:sz w:val="24"/>
      <w:szCs w:val="24"/>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Pr>
      <w:rFonts w:ascii="Arial" w:eastAsia="Arial" w:hAnsi="Arial" w:cs="Arial"/>
      <w:sz w:val="22"/>
      <w:szCs w:val="22"/>
      <w:lang w:eastAsia="es-ES_trad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4-nfasis21">
    <w:name w:val="Tabla de cuadrícula 4 - Énfasis 21"/>
    <w:basedOn w:val="Tablanormal"/>
    <w:uiPriority w:val="49"/>
    <w:rPr>
      <w:sz w:val="22"/>
      <w:szCs w:val="22"/>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style>
  <w:style w:type="table" w:customStyle="1" w:styleId="Tabladecuadrcula4-nfasis41">
    <w:name w:val="Tabla de cuadrícula 4 - Énfasis 41"/>
    <w:basedOn w:val="Tablanormal"/>
    <w:uiPriority w:val="49"/>
    <w:tbl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1D2FF-81AC-4EAD-BA32-0B4CC6AD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3387</Characters>
  <Application>Microsoft Office Word</Application>
  <DocSecurity>0</DocSecurity>
  <Lines>28</Lines>
  <Paragraphs>7</Paragraphs>
  <ScaleCrop>false</ScaleCrop>
  <Company>Microsoft</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Hidalgo Madrigal</dc:creator>
  <cp:keywords/>
  <dc:description/>
  <cp:lastModifiedBy>David Eduarte Vargas</cp:lastModifiedBy>
  <cp:revision>2</cp:revision>
  <cp:lastPrinted>2019-08-06T21:41:00Z</cp:lastPrinted>
  <dcterms:created xsi:type="dcterms:W3CDTF">2022-05-13T19:50:00Z</dcterms:created>
  <dcterms:modified xsi:type="dcterms:W3CDTF">2022-05-13T19:50:00Z</dcterms:modified>
</cp:coreProperties>
</file>