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9"/>
        <w:gridCol w:w="3450"/>
        <w:gridCol w:w="3410"/>
        <w:gridCol w:w="53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pStyle w:val="Ttulo1"/>
              <w:jc w:val="center"/>
            </w:pPr>
            <w:r>
              <w:t>La CNE instaló 5 sirenas en caso de Tsunami para protección de comunidades costeras</w:t>
            </w:r>
          </w:p>
          <w:p w:rsidR="00000000" w:rsidRDefault="00422888"/>
          <w:p w:rsidR="00000000" w:rsidRDefault="00422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4530" cy="438912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43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2288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Un total de 5 sirenas serán instaladas en Tivives, Jacó, </w:t>
            </w:r>
            <w:r>
              <w:rPr>
                <w:rFonts w:ascii="Arial" w:hAnsi="Arial" w:cs="Arial"/>
                <w:bCs/>
                <w:i/>
              </w:rPr>
              <w:t>Esterillos Oeste y Quepos, en la provincia de Puntarenas.</w:t>
            </w:r>
          </w:p>
          <w:p w:rsidR="00000000" w:rsidRDefault="0042288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  <w:p w:rsidR="00000000" w:rsidRDefault="0042288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Desde el año pasado, se ha trabajado con las comunidades para la capacitación e información sobre tsunamis</w:t>
            </w:r>
          </w:p>
          <w:p w:rsidR="00000000" w:rsidRDefault="0042288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</w:p>
          <w:p w:rsidR="00000000" w:rsidRDefault="0042288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Se busca alcanzar el reconocimiento Tsunami Ready de la Comisión Oceanográfica Interguber</w:t>
            </w:r>
            <w:r>
              <w:rPr>
                <w:rFonts w:ascii="Arial" w:hAnsi="Arial" w:cs="Arial"/>
                <w:bCs/>
                <w:i/>
              </w:rPr>
              <w:t>namental de la UNESCO.</w:t>
            </w:r>
          </w:p>
          <w:p w:rsidR="00000000" w:rsidRDefault="004228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17 de septiembre de 2020</w:t>
            </w:r>
            <w:r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Gracias al aporte del Gobierno Estadounidense, </w:t>
            </w:r>
            <w:r>
              <w:rPr>
                <w:rFonts w:ascii="Arial" w:hAnsi="Arial" w:cs="Arial"/>
                <w:sz w:val="24"/>
                <w:szCs w:val="24"/>
              </w:rPr>
              <w:t xml:space="preserve">la Comisión Nacional de Prevención de Riesgos y Atención de Emergencias (CNE) en conjunto con el Sistema Nacional de Monitoreo de Tsunamis (SINAMOT) </w:t>
            </w:r>
            <w:r>
              <w:rPr>
                <w:rFonts w:ascii="Arial" w:hAnsi="Arial" w:cs="Arial"/>
                <w:sz w:val="24"/>
                <w:szCs w:val="24"/>
              </w:rPr>
              <w:t>instalaron este lunes 5 sirenas en las comunidades de Tivives, Jacó, Esterillos Oeste y Quepos, en la provincia de Puntarenas, con el fin de tener una alerta preventiva en caso de presentarse un tsunami en la costa del pacífico.</w:t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comunidades contarán con señales de rutas de evacuación, y un medio para difundir la alerta el cual consta de 5 sirenas donadas por la Embajada Americana que tuvieron un costo de 70 000 dólares.</w:t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22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00800" cy="3569970"/>
                  <wp:effectExtent l="0" t="0" r="0" b="0"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56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Chacón del SINAMOT comentó, “La colocación de l</w:t>
            </w:r>
            <w:r>
              <w:rPr>
                <w:rFonts w:ascii="Arial" w:hAnsi="Arial" w:cs="Arial"/>
                <w:sz w:val="24"/>
                <w:szCs w:val="24"/>
              </w:rPr>
              <w:t>as sirenas es parte de un proceso donde se educó y capacitó a la gente en la evacuación por tsunami elaborando los mapas e indicando a la gente cuáles son los puntos de reunión, las rutas que se deben utilizar. Además de un plan en las comunidades de qué e</w:t>
            </w:r>
            <w:r>
              <w:rPr>
                <w:rFonts w:ascii="Arial" w:hAnsi="Arial" w:cs="Arial"/>
                <w:sz w:val="24"/>
                <w:szCs w:val="24"/>
              </w:rPr>
              <w:t>s la alerta y cómo reaccionar ante ella.”</w:t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Debido a la pandemia, el ejercicio de movilización de población está suspendido, sin embargo, se trabaja con ejercicios de mesa de la mano de los Comités Municipales y Comunales de las zonas costeras del Pacífico p</w:t>
            </w:r>
            <w:r>
              <w:rPr>
                <w:rFonts w:ascii="Arial" w:hAnsi="Arial" w:cs="Arial"/>
                <w:sz w:val="24"/>
                <w:szCs w:val="24"/>
              </w:rPr>
              <w:t xml:space="preserve">ara crear todo un protocolo donde las personas sepan quién y cuándo debe activar la sirena, además de cumplir con las rutas de evacuación buscando resguardar a las comunidades. </w:t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parte, Lidier Esquivel de la CNE comentó que estas 5 sirenas vienen a f</w:t>
            </w:r>
            <w:r>
              <w:rPr>
                <w:rFonts w:ascii="Arial" w:hAnsi="Arial" w:cs="Arial"/>
                <w:sz w:val="24"/>
                <w:szCs w:val="24"/>
              </w:rPr>
              <w:t>ortalecer la red ante tsunamis que ya existe con sirenas en Puntarenas y Guanacaste, además se espera la instalación de sirenas en la costa del Caribe el próximo año.   Otro de los objetivos, es promover que las comunidades obtengan el reconocimiento Tsuna</w:t>
            </w:r>
            <w:r>
              <w:rPr>
                <w:rFonts w:ascii="Arial" w:hAnsi="Arial" w:cs="Arial"/>
                <w:sz w:val="24"/>
                <w:szCs w:val="24"/>
              </w:rPr>
              <w:t>mi Ready de la Comisión Oceanográfica Intergubernamental de la UNESCO, lo que reconoce comunidades más preparadas, evitando las pérdidas humanas.</w:t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0" w:name="_Hlk49937572"/>
            <w:r>
              <w:rPr>
                <w:rFonts w:ascii="Arial" w:hAnsi="Arial" w:cs="Arial"/>
                <w:sz w:val="24"/>
                <w:szCs w:val="24"/>
              </w:rPr>
              <w:t>Los Comités Municipales y Comunales de Emergencia son un apoyo importante en la elaboración, revisión y fortal</w:t>
            </w:r>
            <w:r>
              <w:rPr>
                <w:rFonts w:ascii="Arial" w:hAnsi="Arial" w:cs="Arial"/>
                <w:sz w:val="24"/>
                <w:szCs w:val="24"/>
              </w:rPr>
              <w:t>ecimiento de los planes de evacuación por Tsunamis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00000" w:rsidRDefault="00422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422888">
            <w:pPr>
              <w:jc w:val="both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2888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422888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22888">
      <w:pPr>
        <w:spacing w:after="0" w:line="240" w:lineRule="auto"/>
      </w:pPr>
      <w:r>
        <w:separator/>
      </w:r>
    </w:p>
  </w:endnote>
  <w:endnote w:type="continuationSeparator" w:id="0">
    <w:p w:rsidR="00000000" w:rsidRDefault="0042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22888">
      <w:pPr>
        <w:spacing w:after="0" w:line="240" w:lineRule="auto"/>
      </w:pPr>
      <w:r>
        <w:separator/>
      </w:r>
    </w:p>
  </w:footnote>
  <w:footnote w:type="continuationSeparator" w:id="0">
    <w:p w:rsidR="00000000" w:rsidRDefault="0042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422888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E7BD1"/>
    <w:multiLevelType w:val="hybridMultilevel"/>
    <w:tmpl w:val="9A9279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02009">
    <w:abstractNumId w:val="0"/>
  </w:num>
  <w:num w:numId="2" w16cid:durableId="670330514">
    <w:abstractNumId w:val="0"/>
  </w:num>
  <w:num w:numId="3" w16cid:durableId="775905164">
    <w:abstractNumId w:val="0"/>
    <w:lvlOverride w:ilvl="0"/>
  </w:num>
  <w:num w:numId="4" w16cid:durableId="1684699900">
    <w:abstractNumId w:val="1"/>
  </w:num>
  <w:num w:numId="5" w16cid:durableId="14958791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8"/>
    <w:rsid w:val="004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2022-05-13T19:48:00Z</dcterms:created>
  <dcterms:modified xsi:type="dcterms:W3CDTF">2022-05-13T19:48:00Z</dcterms:modified>
</cp:coreProperties>
</file>