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9340" w:type="dxa"/>
        <w:tblInd w:w="720" w:type="dxa"/>
        <w:tblLook w:val="04A0" w:firstRow="1" w:lastRow="0" w:firstColumn="1" w:lastColumn="0" w:noHBand="0" w:noVBand="1"/>
      </w:tblPr>
      <w:tblGrid>
        <w:gridCol w:w="222"/>
        <w:gridCol w:w="1355"/>
        <w:gridCol w:w="4496"/>
        <w:gridCol w:w="4443"/>
        <w:gridCol w:w="655"/>
        <w:gridCol w:w="222"/>
      </w:tblGrid>
      <w:tr w:rsidR="00000000">
        <w:tc>
          <w:tcPr>
            <w:tcW w:w="270" w:type="dxa"/>
            <w:tcBorders>
              <w:top w:val="single" w:sz="4" w:space="0" w:color="auto"/>
              <w:left w:val="single" w:sz="4" w:space="0" w:color="auto"/>
              <w:bottom w:val="single" w:sz="4" w:space="0" w:color="auto"/>
              <w:right w:val="single" w:sz="4" w:space="0" w:color="auto"/>
            </w:tcBorders>
            <w:hideMark/>
          </w:tcPr>
          <w:p w:rsidR="00000000" w:rsidRDefault="00AA650F">
            <w:pPr>
              <w:spacing w:after="0" w:line="240" w:lineRule="auto"/>
              <w:jc w:val="center"/>
              <w:rPr>
                <w:bCs/>
                <w:color w:val="000000"/>
                <w:sz w:val="40"/>
                <w:szCs w:val="40"/>
                <w:lang w:eastAsia="es-CR"/>
              </w:rPr>
            </w:pPr>
            <w:r>
              <w:rPr>
                <w:bCs/>
                <w:color w:val="000000"/>
                <w:sz w:val="40"/>
                <w:szCs w:val="40"/>
                <w:lang w:eastAsia="es-CR"/>
              </w:rPr>
              <w:t xml:space="preserve">            </w:t>
            </w:r>
          </w:p>
        </w:tc>
        <w:tc>
          <w:tcPr>
            <w:tcW w:w="7569" w:type="dxa"/>
            <w:gridSpan w:val="4"/>
            <w:tcBorders>
              <w:top w:val="single" w:sz="4" w:space="0" w:color="auto"/>
              <w:left w:val="single" w:sz="4" w:space="0" w:color="auto"/>
              <w:bottom w:val="single" w:sz="4" w:space="0" w:color="auto"/>
              <w:right w:val="single" w:sz="4" w:space="0" w:color="auto"/>
            </w:tcBorders>
          </w:tcPr>
          <w:p w:rsidR="00000000" w:rsidRDefault="00AA650F">
            <w:pPr>
              <w:spacing w:after="0" w:line="240" w:lineRule="auto"/>
              <w:ind w:left="142"/>
              <w:jc w:val="center"/>
              <w:rPr>
                <w:rFonts w:ascii="Arial" w:hAnsi="Arial" w:cs="Arial"/>
                <w:b/>
                <w:sz w:val="36"/>
                <w:szCs w:val="36"/>
                <w:lang w:val="es-ES"/>
              </w:rPr>
            </w:pPr>
            <w:r>
              <w:rPr>
                <w:rFonts w:ascii="Arial" w:hAnsi="Arial" w:cs="Arial"/>
                <w:b/>
                <w:sz w:val="36"/>
                <w:szCs w:val="36"/>
                <w:lang w:val="es-ES"/>
              </w:rPr>
              <w:t xml:space="preserve">Inició construcción del puente vehicular </w:t>
            </w:r>
          </w:p>
          <w:p w:rsidR="00000000" w:rsidRDefault="00AA650F">
            <w:pPr>
              <w:spacing w:after="0" w:line="240" w:lineRule="auto"/>
              <w:ind w:left="142"/>
              <w:jc w:val="center"/>
              <w:rPr>
                <w:rFonts w:ascii="Arial" w:hAnsi="Arial" w:cs="Arial"/>
                <w:b/>
                <w:sz w:val="36"/>
                <w:szCs w:val="36"/>
                <w:lang w:val="es-ES"/>
              </w:rPr>
            </w:pPr>
            <w:r>
              <w:rPr>
                <w:rFonts w:ascii="Arial" w:hAnsi="Arial" w:cs="Arial"/>
                <w:b/>
                <w:sz w:val="36"/>
                <w:szCs w:val="36"/>
                <w:lang w:val="es-ES"/>
              </w:rPr>
              <w:t>en la Isla de Moravia</w:t>
            </w:r>
          </w:p>
          <w:p w:rsidR="00000000" w:rsidRDefault="00AA650F">
            <w:pPr>
              <w:spacing w:after="0" w:line="240" w:lineRule="auto"/>
              <w:ind w:left="142"/>
              <w:jc w:val="center"/>
              <w:rPr>
                <w:rFonts w:ascii="Arial" w:hAnsi="Arial" w:cs="Arial"/>
                <w:lang w:val="es-ES"/>
              </w:rPr>
            </w:pPr>
          </w:p>
          <w:p w:rsidR="00000000" w:rsidRDefault="00AA650F">
            <w:pPr>
              <w:numPr>
                <w:ilvl w:val="0"/>
                <w:numId w:val="2"/>
              </w:numPr>
              <w:spacing w:after="0" w:line="240" w:lineRule="auto"/>
              <w:contextualSpacing/>
              <w:jc w:val="both"/>
              <w:rPr>
                <w:rFonts w:ascii="Arial" w:hAnsi="Arial" w:cs="Arial"/>
                <w:i/>
                <w:iCs/>
                <w:lang w:val="es-ES"/>
              </w:rPr>
            </w:pPr>
            <w:r>
              <w:rPr>
                <w:rFonts w:ascii="Arial" w:hAnsi="Arial" w:cs="Arial"/>
                <w:i/>
                <w:iCs/>
                <w:lang w:val="es-ES"/>
              </w:rPr>
              <w:t xml:space="preserve">Más de 12 000 habitantes de comunidades como La Isla, </w:t>
            </w:r>
            <w:r>
              <w:rPr>
                <w:rFonts w:ascii="Arial" w:hAnsi="Arial" w:cs="Arial"/>
                <w:i/>
                <w:iCs/>
                <w:lang w:val="es-ES"/>
              </w:rPr>
              <w:t>San Rafael, Alta Moravia, La Trinidad, Coronado tendrán facilidad de acceso gracias a la construcción del puente.</w:t>
            </w:r>
          </w:p>
          <w:p w:rsidR="00000000" w:rsidRDefault="00AA650F">
            <w:pPr>
              <w:numPr>
                <w:ilvl w:val="0"/>
                <w:numId w:val="2"/>
              </w:numPr>
              <w:spacing w:after="0" w:line="240" w:lineRule="auto"/>
              <w:contextualSpacing/>
              <w:jc w:val="both"/>
              <w:rPr>
                <w:rFonts w:ascii="Arial" w:hAnsi="Arial" w:cs="Arial"/>
                <w:i/>
                <w:iCs/>
                <w:lang w:val="es-ES"/>
              </w:rPr>
            </w:pPr>
            <w:r>
              <w:rPr>
                <w:rFonts w:ascii="Arial" w:hAnsi="Arial" w:cs="Arial"/>
                <w:i/>
                <w:iCs/>
                <w:lang w:val="es-ES"/>
              </w:rPr>
              <w:t xml:space="preserve">Se construye, además, un puente de servicios para colocar las tuberías de agua potable del acueducto madre y local que abastece del líquido a </w:t>
            </w:r>
            <w:r>
              <w:rPr>
                <w:rFonts w:ascii="Arial" w:hAnsi="Arial" w:cs="Arial"/>
                <w:i/>
                <w:iCs/>
                <w:lang w:val="es-ES"/>
              </w:rPr>
              <w:t>50 mil abonados de Moravia, Tibás, San José.</w:t>
            </w:r>
          </w:p>
          <w:p w:rsidR="00000000" w:rsidRDefault="00AA650F">
            <w:pPr>
              <w:numPr>
                <w:ilvl w:val="0"/>
                <w:numId w:val="2"/>
              </w:numPr>
              <w:spacing w:after="0" w:line="240" w:lineRule="auto"/>
              <w:contextualSpacing/>
              <w:jc w:val="both"/>
              <w:rPr>
                <w:rFonts w:ascii="Arial" w:hAnsi="Arial" w:cs="Arial"/>
                <w:i/>
                <w:iCs/>
                <w:lang w:val="es-ES"/>
              </w:rPr>
            </w:pPr>
            <w:r>
              <w:rPr>
                <w:rFonts w:ascii="Arial" w:hAnsi="Arial" w:cs="Arial"/>
                <w:i/>
                <w:iCs/>
                <w:lang w:val="es-ES"/>
              </w:rPr>
              <w:t>Además, se reforzarán los muros de contención que darán tranquilidad a las familias que habitan en la parte baja de las zonas de La Isla y San Rafael.</w:t>
            </w:r>
          </w:p>
          <w:p w:rsidR="00000000" w:rsidRDefault="00AA650F">
            <w:pPr>
              <w:spacing w:after="0" w:line="240" w:lineRule="auto"/>
              <w:ind w:left="502"/>
              <w:contextualSpacing/>
              <w:jc w:val="both"/>
              <w:rPr>
                <w:rFonts w:ascii="Arial" w:hAnsi="Arial" w:cs="Arial"/>
                <w:i/>
                <w:iCs/>
                <w:lang w:val="es-ES"/>
              </w:rPr>
            </w:pPr>
            <w:r>
              <w:rPr>
                <w:noProof/>
              </w:rPr>
              <w:drawing>
                <wp:inline distT="0" distB="0" distL="0" distR="0">
                  <wp:extent cx="6496050" cy="48742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6050" cy="4874260"/>
                          </a:xfrm>
                          <a:prstGeom prst="rect">
                            <a:avLst/>
                          </a:prstGeom>
                          <a:noFill/>
                          <a:ln>
                            <a:noFill/>
                          </a:ln>
                        </pic:spPr>
                      </pic:pic>
                    </a:graphicData>
                  </a:graphic>
                </wp:inline>
              </w:drawing>
            </w:r>
          </w:p>
          <w:p w:rsidR="00000000" w:rsidRDefault="00AA650F">
            <w:pPr>
              <w:spacing w:line="256" w:lineRule="auto"/>
              <w:jc w:val="both"/>
              <w:rPr>
                <w:rFonts w:ascii="Arial" w:hAnsi="Arial" w:cs="Arial"/>
                <w:sz w:val="24"/>
                <w:lang w:val="es-ES"/>
              </w:rPr>
            </w:pPr>
            <w:r>
              <w:rPr>
                <w:rFonts w:ascii="Arial" w:hAnsi="Arial" w:cs="Arial"/>
                <w:b/>
                <w:i/>
                <w:sz w:val="20"/>
                <w:lang w:val="es-ES"/>
              </w:rPr>
              <w:t xml:space="preserve">San José, 11 de junio del 2020.  </w:t>
            </w:r>
            <w:r>
              <w:rPr>
                <w:rFonts w:ascii="Arial" w:hAnsi="Arial" w:cs="Arial"/>
                <w:sz w:val="24"/>
                <w:lang w:val="es-ES"/>
              </w:rPr>
              <w:t xml:space="preserve">Con una inversión de más </w:t>
            </w:r>
            <w:r>
              <w:rPr>
                <w:rFonts w:ascii="Arial" w:hAnsi="Arial" w:cs="Arial"/>
                <w:sz w:val="24"/>
                <w:lang w:val="es-ES"/>
              </w:rPr>
              <w:t xml:space="preserve">de 1 570 millones de colones, la Comisión Nacional de Prevención de Riesgos y Atención de Emergencias (CNE) arrancó con la construcción del puente vehicular de 40 metros de ancho y obras conexas sobre el cauce del río Ipís en el cantón de Moravia. </w:t>
            </w:r>
          </w:p>
          <w:p w:rsidR="00000000" w:rsidRDefault="00AA650F">
            <w:pPr>
              <w:spacing w:line="256" w:lineRule="auto"/>
              <w:jc w:val="both"/>
              <w:rPr>
                <w:rFonts w:ascii="Arial" w:hAnsi="Arial" w:cs="Arial"/>
                <w:sz w:val="24"/>
                <w:lang w:val="es-ES"/>
              </w:rPr>
            </w:pPr>
            <w:r>
              <w:rPr>
                <w:rFonts w:ascii="Arial" w:hAnsi="Arial" w:cs="Arial"/>
                <w:sz w:val="24"/>
                <w:lang w:val="es-ES"/>
              </w:rPr>
              <w:t>Esta ob</w:t>
            </w:r>
            <w:r>
              <w:rPr>
                <w:rFonts w:ascii="Arial" w:hAnsi="Arial" w:cs="Arial"/>
                <w:sz w:val="24"/>
                <w:lang w:val="es-ES"/>
              </w:rPr>
              <w:t>ra contará una estructura con dos carriles y aceras peatonales a los ambos lados, lo que beneficiará a más de 12 000 habitantes de las comunidades de La Isla, San Rafael, Alta Moravia y La Trinidad de Moravia.</w:t>
            </w:r>
          </w:p>
          <w:p w:rsidR="00000000" w:rsidRDefault="00AA650F">
            <w:pPr>
              <w:spacing w:line="256" w:lineRule="auto"/>
              <w:jc w:val="both"/>
              <w:rPr>
                <w:rFonts w:ascii="Arial" w:hAnsi="Arial" w:cs="Arial"/>
                <w:sz w:val="24"/>
                <w:lang w:val="es-ES"/>
              </w:rPr>
            </w:pPr>
            <w:r>
              <w:rPr>
                <w:rFonts w:ascii="Arial" w:hAnsi="Arial" w:cs="Arial"/>
                <w:sz w:val="24"/>
                <w:lang w:val="es-ES"/>
              </w:rPr>
              <w:lastRenderedPageBreak/>
              <w:t>El presidente de la CNE, Alexander Solís, info</w:t>
            </w:r>
            <w:r>
              <w:rPr>
                <w:rFonts w:ascii="Arial" w:hAnsi="Arial" w:cs="Arial"/>
                <w:sz w:val="24"/>
                <w:lang w:val="es-ES"/>
              </w:rPr>
              <w:t>rmó que la obra tiene un gran impacto social ya que, paralelo al puente vehicular, se construirá un puente de servicios de 36 metros, para colocar las tuberías de agua potable del acueducto madre y del acueducto local de la zona que abastecen del líquido a</w:t>
            </w:r>
            <w:r>
              <w:rPr>
                <w:rFonts w:ascii="Arial" w:hAnsi="Arial" w:cs="Arial"/>
                <w:sz w:val="24"/>
                <w:lang w:val="es-ES"/>
              </w:rPr>
              <w:t xml:space="preserve"> 50 mil abonados de Moravia, Tibás, San José.</w:t>
            </w:r>
          </w:p>
          <w:p w:rsidR="00000000" w:rsidRDefault="00AA650F">
            <w:pPr>
              <w:spacing w:line="256" w:lineRule="auto"/>
              <w:jc w:val="both"/>
              <w:rPr>
                <w:rFonts w:ascii="Arial" w:hAnsi="Arial" w:cs="Arial"/>
                <w:sz w:val="24"/>
                <w:lang w:val="es-ES"/>
              </w:rPr>
            </w:pPr>
            <w:r>
              <w:rPr>
                <w:rFonts w:ascii="Arial" w:hAnsi="Arial" w:cs="Arial"/>
                <w:sz w:val="24"/>
                <w:lang w:val="es-ES"/>
              </w:rPr>
              <w:t>Como obras complementarias, se harán trabajos de estabilización de taludes y lomas cercanos a la estructura. Se construirán pozos, tuberías y tragantes, y se realizarán mejoras en la vía pública por medio de la</w:t>
            </w:r>
            <w:r>
              <w:rPr>
                <w:rFonts w:ascii="Arial" w:hAnsi="Arial" w:cs="Arial"/>
                <w:sz w:val="24"/>
                <w:lang w:val="es-ES"/>
              </w:rPr>
              <w:t xml:space="preserve"> ampliación de la vía y la construcción aceras y cordones de caño.</w:t>
            </w:r>
          </w:p>
          <w:p w:rsidR="00000000" w:rsidRDefault="00AA650F">
            <w:pPr>
              <w:spacing w:line="256" w:lineRule="auto"/>
              <w:jc w:val="both"/>
              <w:rPr>
                <w:rFonts w:ascii="Arial" w:hAnsi="Arial" w:cs="Arial"/>
                <w:sz w:val="24"/>
                <w:lang w:val="es-ES"/>
              </w:rPr>
            </w:pPr>
            <w:r>
              <w:rPr>
                <w:rFonts w:ascii="Arial" w:hAnsi="Arial" w:cs="Arial"/>
                <w:sz w:val="24"/>
                <w:lang w:val="es-ES"/>
              </w:rPr>
              <w:t xml:space="preserve">Además, se reforzarán los muros de contención que darán tranquilidad a las familias que habitan en la parte baja de las zonas de La Isla y San Rafael. </w:t>
            </w:r>
          </w:p>
          <w:p w:rsidR="00000000" w:rsidRDefault="00AA650F">
            <w:pPr>
              <w:spacing w:line="256" w:lineRule="auto"/>
              <w:jc w:val="both"/>
            </w:pPr>
            <w:r>
              <w:rPr>
                <w:rFonts w:ascii="Arial" w:hAnsi="Arial" w:cs="Arial"/>
                <w:sz w:val="24"/>
                <w:lang w:val="es-ES"/>
              </w:rPr>
              <w:t>Los vecinos de esas comunidades se vi</w:t>
            </w:r>
            <w:r>
              <w:rPr>
                <w:rFonts w:ascii="Arial" w:hAnsi="Arial" w:cs="Arial"/>
                <w:sz w:val="24"/>
                <w:lang w:val="es-ES"/>
              </w:rPr>
              <w:t>eron afectados</w:t>
            </w:r>
            <w:r>
              <w:rPr>
                <w:lang w:val="es-ES"/>
              </w:rPr>
              <w:t xml:space="preserve"> </w:t>
            </w:r>
            <w:r>
              <w:rPr>
                <w:rFonts w:ascii="Arial" w:hAnsi="Arial" w:cs="Arial"/>
                <w:sz w:val="24"/>
                <w:lang w:val="es-ES"/>
              </w:rPr>
              <w:t>por el colapso que sufrió la estructura debido a la socavación en los cimientos del puente producto de las fuertes lluvias ocasionadas por la tormenta Tropical Nate.</w:t>
            </w:r>
          </w:p>
          <w:p w:rsidR="00000000" w:rsidRDefault="00AA650F">
            <w:pPr>
              <w:spacing w:line="256" w:lineRule="auto"/>
              <w:jc w:val="both"/>
              <w:rPr>
                <w:rFonts w:ascii="Arial" w:hAnsi="Arial" w:cs="Arial"/>
                <w:sz w:val="16"/>
                <w:szCs w:val="16"/>
                <w:lang w:val="es-ES"/>
              </w:rPr>
            </w:pPr>
            <w:r>
              <w:rPr>
                <w:rFonts w:ascii="Arial" w:hAnsi="Arial" w:cs="Arial"/>
                <w:sz w:val="24"/>
                <w:lang w:val="es-ES"/>
              </w:rPr>
              <w:t>Para este cantón, la construcción del puente es un punto necesario ya que e</w:t>
            </w:r>
            <w:r>
              <w:rPr>
                <w:rFonts w:ascii="Arial" w:hAnsi="Arial" w:cs="Arial"/>
                <w:sz w:val="24"/>
                <w:lang w:val="es-ES"/>
              </w:rPr>
              <w:t>s una vía alterna de gran tránsito vehicular y necesaria para movilizarse hacia Moravia, Guadalupe, Coronado, Ipis y lugares aleñados como la ruta 32 (Braulio Carrillo).  Además, la obra permite el traslado de productos agrícolas como tomate, café y las le</w:t>
            </w:r>
            <w:r>
              <w:rPr>
                <w:rFonts w:ascii="Arial" w:hAnsi="Arial" w:cs="Arial"/>
                <w:sz w:val="24"/>
                <w:lang w:val="es-ES"/>
              </w:rPr>
              <w:t xml:space="preserve">gumbres. </w:t>
            </w:r>
          </w:p>
          <w:p w:rsidR="00000000" w:rsidRDefault="00AA650F">
            <w:pPr>
              <w:spacing w:line="256" w:lineRule="auto"/>
              <w:jc w:val="both"/>
              <w:rPr>
                <w:rFonts w:ascii="Calibri" w:hAnsi="Calibri" w:cs="Calibri"/>
                <w:bCs/>
                <w:color w:val="000000"/>
                <w:sz w:val="40"/>
                <w:szCs w:val="40"/>
                <w:lang w:eastAsia="es-CR"/>
              </w:rPr>
            </w:pPr>
            <w:r>
              <w:rPr>
                <w:rFonts w:ascii="Arial" w:hAnsi="Arial" w:cs="Arial"/>
                <w:sz w:val="24"/>
                <w:lang w:val="es-ES"/>
              </w:rPr>
              <w:t>La reconstrucción de la obra inició el pasado 26 de mayo y se espera su finalización para el primer semestre del 2021.    Esta obra se realiza con el apoyo de las Unidades Ejecutoras de la Municipalidad de Moravia y Acueductos y Alcantarillados.</w:t>
            </w:r>
          </w:p>
        </w:tc>
        <w:tc>
          <w:tcPr>
            <w:tcW w:w="1501" w:type="dxa"/>
            <w:tcBorders>
              <w:top w:val="single" w:sz="4" w:space="0" w:color="auto"/>
              <w:left w:val="single" w:sz="4" w:space="0" w:color="auto"/>
              <w:bottom w:val="single" w:sz="4" w:space="0" w:color="auto"/>
              <w:right w:val="single" w:sz="4" w:space="0" w:color="auto"/>
            </w:tcBorders>
          </w:tcPr>
          <w:p w:rsidR="00000000" w:rsidRDefault="00AA650F">
            <w:pPr>
              <w:spacing w:after="0" w:line="240" w:lineRule="auto"/>
              <w:jc w:val="center"/>
              <w:rPr>
                <w:bCs/>
                <w:color w:val="000000"/>
                <w:sz w:val="40"/>
                <w:szCs w:val="40"/>
                <w:lang w:eastAsia="es-CR"/>
              </w:rPr>
            </w:pPr>
          </w:p>
        </w:tc>
      </w:tr>
      <w:tr w:rsidR="00000000">
        <w:tc>
          <w:tcPr>
            <w:tcW w:w="270" w:type="dxa"/>
            <w:tcBorders>
              <w:top w:val="single" w:sz="4" w:space="0" w:color="auto"/>
              <w:left w:val="single" w:sz="4" w:space="0" w:color="auto"/>
              <w:bottom w:val="single" w:sz="4" w:space="0" w:color="auto"/>
              <w:right w:val="single" w:sz="4" w:space="0" w:color="auto"/>
            </w:tcBorders>
          </w:tcPr>
          <w:p w:rsidR="00000000" w:rsidRDefault="00AA650F">
            <w:pPr>
              <w:spacing w:after="0" w:line="240" w:lineRule="auto"/>
              <w:jc w:val="center"/>
              <w:rPr>
                <w:bCs/>
                <w:color w:val="000000"/>
                <w:sz w:val="40"/>
                <w:szCs w:val="40"/>
                <w:lang w:eastAsia="es-CR"/>
              </w:rPr>
            </w:pPr>
          </w:p>
        </w:tc>
        <w:tc>
          <w:tcPr>
            <w:tcW w:w="824" w:type="dxa"/>
            <w:tcBorders>
              <w:top w:val="single" w:sz="4" w:space="0" w:color="auto"/>
              <w:left w:val="single" w:sz="4" w:space="0" w:color="auto"/>
              <w:bottom w:val="single" w:sz="4" w:space="0" w:color="auto"/>
              <w:right w:val="single" w:sz="4" w:space="0" w:color="auto"/>
            </w:tcBorders>
          </w:tcPr>
          <w:p w:rsidR="00000000" w:rsidRDefault="00AA650F">
            <w:pPr>
              <w:spacing w:after="0" w:line="240" w:lineRule="auto"/>
              <w:jc w:val="center"/>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rsidR="00000000" w:rsidRDefault="00AA650F">
            <w:pPr>
              <w:spacing w:after="0" w:line="240" w:lineRule="auto"/>
              <w:jc w:val="center"/>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rsidR="00000000" w:rsidRDefault="00AA650F">
            <w:pPr>
              <w:spacing w:after="0" w:line="240" w:lineRule="auto"/>
              <w:jc w:val="center"/>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rsidR="00000000" w:rsidRDefault="00AA650F">
            <w:pPr>
              <w:spacing w:after="0" w:line="240" w:lineRule="auto"/>
              <w:jc w:val="center"/>
              <w:rPr>
                <w:bCs/>
                <w:color w:val="000000"/>
                <w:sz w:val="40"/>
                <w:szCs w:val="40"/>
                <w:lang w:eastAsia="es-CR"/>
              </w:rPr>
            </w:pPr>
          </w:p>
        </w:tc>
        <w:tc>
          <w:tcPr>
            <w:tcW w:w="1501" w:type="dxa"/>
            <w:tcBorders>
              <w:top w:val="single" w:sz="4" w:space="0" w:color="auto"/>
              <w:left w:val="single" w:sz="4" w:space="0" w:color="auto"/>
              <w:bottom w:val="single" w:sz="4" w:space="0" w:color="auto"/>
              <w:right w:val="single" w:sz="4" w:space="0" w:color="auto"/>
            </w:tcBorders>
          </w:tcPr>
          <w:p w:rsidR="00000000" w:rsidRDefault="00AA650F">
            <w:pPr>
              <w:spacing w:after="0" w:line="240" w:lineRule="auto"/>
              <w:jc w:val="center"/>
              <w:rPr>
                <w:bCs/>
                <w:color w:val="000000"/>
                <w:sz w:val="40"/>
                <w:szCs w:val="40"/>
                <w:lang w:eastAsia="es-CR"/>
              </w:rPr>
            </w:pPr>
          </w:p>
        </w:tc>
      </w:tr>
    </w:tbl>
    <w:p w:rsidR="00000000" w:rsidRDefault="00AA650F"/>
    <w:sectPr w:rsidR="0000000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E3C47"/>
    <w:multiLevelType w:val="hybridMultilevel"/>
    <w:tmpl w:val="46B86CE6"/>
    <w:lvl w:ilvl="0" w:tplc="0C0A0001">
      <w:start w:val="1"/>
      <w:numFmt w:val="bullet"/>
      <w:lvlText w:val=""/>
      <w:lvlJc w:val="left"/>
      <w:pPr>
        <w:ind w:left="502" w:hanging="360"/>
      </w:pPr>
      <w:rPr>
        <w:rFonts w:ascii="Symbol" w:hAnsi="Symbol" w:hint="default"/>
      </w:rPr>
    </w:lvl>
    <w:lvl w:ilvl="1" w:tplc="0C0A0003">
      <w:start w:val="1"/>
      <w:numFmt w:val="bullet"/>
      <w:lvlText w:val="o"/>
      <w:lvlJc w:val="left"/>
      <w:pPr>
        <w:ind w:left="1222" w:hanging="360"/>
      </w:pPr>
      <w:rPr>
        <w:rFonts w:ascii="Courier New" w:hAnsi="Courier New" w:cs="Courier New" w:hint="default"/>
      </w:rPr>
    </w:lvl>
    <w:lvl w:ilvl="2" w:tplc="0C0A0005">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start w:val="1"/>
      <w:numFmt w:val="bullet"/>
      <w:lvlText w:val="o"/>
      <w:lvlJc w:val="left"/>
      <w:pPr>
        <w:ind w:left="3382" w:hanging="360"/>
      </w:pPr>
      <w:rPr>
        <w:rFonts w:ascii="Courier New" w:hAnsi="Courier New" w:cs="Courier New" w:hint="default"/>
      </w:rPr>
    </w:lvl>
    <w:lvl w:ilvl="5" w:tplc="0C0A0005">
      <w:start w:val="1"/>
      <w:numFmt w:val="bullet"/>
      <w:lvlText w:val=""/>
      <w:lvlJc w:val="left"/>
      <w:pPr>
        <w:ind w:left="4102" w:hanging="360"/>
      </w:pPr>
      <w:rPr>
        <w:rFonts w:ascii="Wingdings" w:hAnsi="Wingdings" w:hint="default"/>
      </w:rPr>
    </w:lvl>
    <w:lvl w:ilvl="6" w:tplc="0C0A0001">
      <w:start w:val="1"/>
      <w:numFmt w:val="bullet"/>
      <w:lvlText w:val=""/>
      <w:lvlJc w:val="left"/>
      <w:pPr>
        <w:ind w:left="4822" w:hanging="360"/>
      </w:pPr>
      <w:rPr>
        <w:rFonts w:ascii="Symbol" w:hAnsi="Symbol" w:hint="default"/>
      </w:rPr>
    </w:lvl>
    <w:lvl w:ilvl="7" w:tplc="0C0A0003">
      <w:start w:val="1"/>
      <w:numFmt w:val="bullet"/>
      <w:lvlText w:val="o"/>
      <w:lvlJc w:val="left"/>
      <w:pPr>
        <w:ind w:left="5542" w:hanging="360"/>
      </w:pPr>
      <w:rPr>
        <w:rFonts w:ascii="Courier New" w:hAnsi="Courier New" w:cs="Courier New" w:hint="default"/>
      </w:rPr>
    </w:lvl>
    <w:lvl w:ilvl="8" w:tplc="0C0A0005">
      <w:start w:val="1"/>
      <w:numFmt w:val="bullet"/>
      <w:lvlText w:val=""/>
      <w:lvlJc w:val="left"/>
      <w:pPr>
        <w:ind w:left="6262" w:hanging="360"/>
      </w:pPr>
      <w:rPr>
        <w:rFonts w:ascii="Wingdings" w:hAnsi="Wingdings" w:hint="default"/>
      </w:rPr>
    </w:lvl>
  </w:abstractNum>
  <w:num w:numId="1" w16cid:durableId="1373456948">
    <w:abstractNumId w:val="0"/>
  </w:num>
  <w:num w:numId="2" w16cid:durableId="159261652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50F"/>
    <w:rsid w:val="00AA650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2287</Characters>
  <Application>Microsoft Office Word</Application>
  <DocSecurity>0</DocSecurity>
  <Lines>19</Lines>
  <Paragraphs>5</Paragraphs>
  <ScaleCrop>false</ScaleCrop>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Rebeca Madrigal L</dc:creator>
  <cp:keywords/>
  <dc:description/>
  <cp:lastModifiedBy>David Eduarte Vargas</cp:lastModifiedBy>
  <cp:revision>2</cp:revision>
  <dcterms:created xsi:type="dcterms:W3CDTF">2022-05-13T19:48:00Z</dcterms:created>
  <dcterms:modified xsi:type="dcterms:W3CDTF">2022-05-13T19:48:00Z</dcterms:modified>
</cp:coreProperties>
</file>