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81"/>
        <w:gridCol w:w="3435"/>
        <w:gridCol w:w="3396"/>
        <w:gridCol w:w="557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pStyle w:val="BodyA"/>
              <w:suppressAutoHyphens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48"/>
                <w:szCs w:val="48"/>
                <w:bdr w:val="none" w:sz="0" w:space="0" w:color="auto" w:frame="1"/>
                <w:lang w:val="es-ES" w:eastAsia="en-U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48"/>
                <w:szCs w:val="48"/>
                <w:bdr w:val="none" w:sz="0" w:space="0" w:color="auto" w:frame="1"/>
                <w:lang w:val="es-ES" w:eastAsia="en-US"/>
              </w:rPr>
              <w:t>Costa Rica firma adenda con Pfizer para adquirir 1 millón de vacunas adicionales</w:t>
            </w:r>
          </w:p>
          <w:p w:rsidR="00000000" w:rsidRDefault="003B6B0D">
            <w:pPr>
              <w:rPr>
                <w:lang w:val="es-ES"/>
              </w:rPr>
            </w:pPr>
          </w:p>
          <w:p w:rsidR="00000000" w:rsidRDefault="003B6B0D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3B6B0D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noProof/>
                <w:lang w:val="es-ES"/>
              </w:rPr>
              <w:drawing>
                <wp:inline distT="0" distB="0" distL="0" distR="0">
                  <wp:extent cx="6893560" cy="5168265"/>
                  <wp:effectExtent l="0" t="0" r="2540" b="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560" cy="516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6B0D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lang w:val="es-ES"/>
              </w:rPr>
              <w:t>San José,15 de marzo de 2020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. Costa Rica firmó una adenda para 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asegurar el suministro de un millón de dosis adicionales de la vacuna de Pfizer/BioNTech, con el objetivo de acelerar el ritmo del proceso de inmunización a los grupos prioritarios. Esto es posible gracias a la articulación de esfuerzos de las institucione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s que atienden la pandemia por COVID-19 y a un presupuesto extraordinario aprobado por la Asamblea Legislativa.</w:t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El contrato original con Pfizer/BioNTech fue por 3.000.075 dosis. Con la enmienda, suscrita por parte del país por el Presidente de la Comisión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 xml:space="preserve"> Nacional de Prevención de Riesgos y Atención de Emergencias (CNE), Alexander Solís, la cantidad se eleva a 4.000.425 dosis en total. Esto permite vacunar poco más de 2 millones de personas, ya que se requieren 2 dosis por persona, con un intervalo de 21 d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ías entre ambas.</w:t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lastRenderedPageBreak/>
              <w:t>“Otras 500.000 personas podrán ser vacunadas contra el coronavirus este mismo año, gracias a que hemos formalizado el proceso de compra de más vacunas. Es una satisfacción muy grande poder abarcar la mayor parte de la población y así evit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ar que más personas enfermen por COVID-19”, dijo Solís Delgado.</w:t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A estos efectos, “la Comisión Nacional de Vacunación y Epidemiología analizó las opciones disponibles, valorando la efectividad y seguridad de los desarrollos y la debida aprobación de una ag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encia de regulación estricta, así como la disponibilidad del fármaco, llegando a la decisión de ampliar la contratación con Pfizer por ambos factores: sustento científico de la vacuna y posibilidad de la empresa de ampliar las entregas para Costa Rica“, se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ñaló el viceministro de Salud, Pedro González.</w:t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center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noProof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drawing>
                <wp:inline distT="0" distB="0" distL="0" distR="0">
                  <wp:extent cx="6734810" cy="5048885"/>
                  <wp:effectExtent l="0" t="0" r="8890" b="0"/>
                  <wp:docPr id="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10" cy="504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 xml:space="preserve">El objetivo es acelerar la vacunación de los grupos prioritarios. La empresa farmacéutica se comprometió a incrementar la 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cantidad de dosis en cada entrega semanal a partir de abril, para finalizar este mismo año con los cuatro millones de dosis contratadas. Como se sabe, hasta el momento ha entregado 472.875 dosis.</w:t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“Estamos muy esperanzados con esta decisión, toda vez que c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 xml:space="preserve">ontar con más vacunas permitirá acelerar el ritmo de inmunización de los grupos prioritarios, reducir la cantidad de personas que requieren hospitalización y prevenir que 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lastRenderedPageBreak/>
              <w:t>se sobrepase la capacidad del sistema de salud“, señaló el Gerente Médico de la CCSS,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 xml:space="preserve"> Mario Ruiz.</w:t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Una vez que lleguen, las vacunas se distribuirán a los centros de salud, a lo largo del país, donde se instalaron desde la semana anterior los 14 congeladores de ultra baja temperatura que son necesarios para mantenerlas en condiciones adecua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das, agilizando las jornadas de vacunación que realiza la CCSS.</w:t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</w:p>
          <w:p w:rsidR="00000000" w:rsidRDefault="003B6B0D">
            <w:pPr>
              <w:pStyle w:val="BodyA"/>
              <w:suppressAutoHyphens/>
              <w:spacing w:line="240" w:lineRule="auto"/>
              <w:jc w:val="center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noProof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drawing>
                <wp:inline distT="0" distB="0" distL="0" distR="0">
                  <wp:extent cx="6114415" cy="8150225"/>
                  <wp:effectExtent l="0" t="0" r="635" b="3175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81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</w:p>
          <w:p w:rsidR="00000000" w:rsidRDefault="003B6B0D">
            <w:pPr>
              <w:pStyle w:val="BodyA"/>
              <w:suppressAutoHyphens/>
              <w:spacing w:line="240" w:lineRule="auto"/>
              <w:jc w:val="both"/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</w:pP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Lo acordado con Pfizer/BioNTech se suma a los contratos que tiene el país con Astra Zeneca, por 1.092.000 dosis, y con el mecanismo multilateral COVAX por 2.037.600 dosis; los cuales se es</w:t>
            </w:r>
            <w:r>
              <w:rPr>
                <w:rFonts w:eastAsiaTheme="minorHAnsi" w:cs="Arial"/>
                <w:color w:val="000000" w:themeColor="text1"/>
                <w:sz w:val="24"/>
                <w:bdr w:val="none" w:sz="0" w:space="0" w:color="auto" w:frame="1"/>
                <w:lang w:val="es-ES" w:eastAsia="en-US"/>
              </w:rPr>
              <w:t>pera que inicien las entregas en mayo. Así, el total de acuerdos de suministro de vacunas contra COVID-19 alcanzados por el país asciende a 7.130.025 dosis, suficientes para vacunar a 3.565.012 personas mayores de 18 años.</w:t>
            </w:r>
          </w:p>
          <w:p w:rsidR="00000000" w:rsidRDefault="003B6B0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6B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3B6B0D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B6B0D">
      <w:pPr>
        <w:spacing w:after="0" w:line="240" w:lineRule="auto"/>
      </w:pPr>
      <w:r>
        <w:separator/>
      </w:r>
    </w:p>
  </w:endnote>
  <w:endnote w:type="continuationSeparator" w:id="0">
    <w:p w:rsidR="00000000" w:rsidRDefault="003B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B6B0D">
      <w:pPr>
        <w:spacing w:after="0" w:line="240" w:lineRule="auto"/>
      </w:pPr>
      <w:r>
        <w:separator/>
      </w:r>
    </w:p>
  </w:footnote>
  <w:footnote w:type="continuationSeparator" w:id="0">
    <w:p w:rsidR="00000000" w:rsidRDefault="003B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3B6B0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4479170">
    <w:abstractNumId w:val="0"/>
  </w:num>
  <w:num w:numId="2" w16cid:durableId="284046899">
    <w:abstractNumId w:val="0"/>
  </w:num>
  <w:num w:numId="3" w16cid:durableId="213354991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D"/>
    <w:rsid w:val="003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99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A">
    <w:name w:val="Body A"/>
    <w:uiPriority w:val="99"/>
    <w:semiHidden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2022-05-13T19:44:00Z</dcterms:created>
  <dcterms:modified xsi:type="dcterms:W3CDTF">2022-05-13T19:44:00Z</dcterms:modified>
</cp:coreProperties>
</file>