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2"/>
        <w:gridCol w:w="46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53A33">
            <w:pPr>
              <w:pStyle w:val="Ttulo1"/>
              <w:jc w:val="center"/>
              <w:rPr>
                <w:b/>
                <w:bCs/>
              </w:rPr>
            </w:pPr>
            <w:r>
              <w:rPr>
                <w:b/>
                <w:bCs/>
              </w:rPr>
              <w:t>CNE solicita a población mantenerse alerta aun cuando disminuyan las lluvias</w:t>
            </w:r>
          </w:p>
          <w:p w:rsidR="00000000" w:rsidRDefault="00653A33">
            <w:pPr>
              <w:jc w:val="center"/>
            </w:pPr>
            <w:r>
              <w:rPr>
                <w:noProof/>
              </w:rPr>
              <w:drawing>
                <wp:inline distT="0" distB="0" distL="0" distR="0">
                  <wp:extent cx="5398770" cy="3029585"/>
                  <wp:effectExtent l="0" t="0" r="0" b="0"/>
                  <wp:docPr id="1" name="Imagen 1" descr="Imagen que contiene exterior, pasto, pequeñ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exterior, pasto, pequeño, call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3029585"/>
                          </a:xfrm>
                          <a:prstGeom prst="rect">
                            <a:avLst/>
                          </a:prstGeom>
                          <a:noFill/>
                          <a:ln>
                            <a:noFill/>
                          </a:ln>
                        </pic:spPr>
                      </pic:pic>
                    </a:graphicData>
                  </a:graphic>
                </wp:inline>
              </w:drawing>
            </w:r>
          </w:p>
          <w:p w:rsidR="00000000" w:rsidRDefault="00653A33">
            <w:pPr>
              <w:spacing w:after="0" w:line="240" w:lineRule="auto"/>
              <w:jc w:val="both"/>
              <w:rPr>
                <w:rFonts w:ascii="Arial" w:hAnsi="Arial" w:cs="Arial"/>
                <w:sz w:val="24"/>
                <w:szCs w:val="24"/>
              </w:rPr>
            </w:pPr>
          </w:p>
          <w:p w:rsidR="00000000" w:rsidRDefault="00653A33">
            <w:pPr>
              <w:numPr>
                <w:ilvl w:val="0"/>
                <w:numId w:val="2"/>
              </w:numPr>
              <w:spacing w:after="0" w:line="240" w:lineRule="auto"/>
              <w:contextualSpacing/>
              <w:jc w:val="both"/>
              <w:rPr>
                <w:rFonts w:ascii="Arial" w:hAnsi="Arial" w:cs="Arial"/>
                <w:i/>
                <w:sz w:val="26"/>
                <w:szCs w:val="26"/>
              </w:rPr>
            </w:pPr>
            <w:r>
              <w:rPr>
                <w:rFonts w:ascii="Arial" w:hAnsi="Arial" w:cs="Arial"/>
                <w:sz w:val="26"/>
                <w:szCs w:val="26"/>
              </w:rPr>
              <w:t>IMN</w:t>
            </w:r>
            <w:r>
              <w:rPr>
                <w:rFonts w:ascii="Arial" w:hAnsi="Arial" w:cs="Arial"/>
                <w:sz w:val="24"/>
                <w:szCs w:val="24"/>
              </w:rPr>
              <w:t xml:space="preserve"> indica que se espera que este viernes sea un día de transición hacia condiciones lluviosas típicas de la época.</w:t>
            </w:r>
          </w:p>
          <w:p w:rsidR="00000000" w:rsidRDefault="00653A33">
            <w:pPr>
              <w:numPr>
                <w:ilvl w:val="0"/>
                <w:numId w:val="2"/>
              </w:numPr>
              <w:spacing w:after="0" w:line="240" w:lineRule="auto"/>
              <w:contextualSpacing/>
              <w:jc w:val="both"/>
              <w:rPr>
                <w:rFonts w:ascii="Arial" w:hAnsi="Arial" w:cs="Arial"/>
                <w:i/>
                <w:sz w:val="26"/>
                <w:szCs w:val="26"/>
              </w:rPr>
            </w:pPr>
            <w:r>
              <w:rPr>
                <w:rFonts w:ascii="Arial" w:hAnsi="Arial" w:cs="Arial"/>
                <w:i/>
                <w:sz w:val="26"/>
                <w:szCs w:val="26"/>
              </w:rPr>
              <w:t>Las fuertes lluvias provocaron el cierre de 26 puntos en carreteras principalmente por caída de material.</w:t>
            </w:r>
          </w:p>
          <w:p w:rsidR="00000000" w:rsidRDefault="00653A33">
            <w:pPr>
              <w:numPr>
                <w:ilvl w:val="0"/>
                <w:numId w:val="2"/>
              </w:numPr>
              <w:spacing w:after="0" w:line="240" w:lineRule="auto"/>
              <w:contextualSpacing/>
              <w:jc w:val="both"/>
              <w:rPr>
                <w:rFonts w:ascii="Arial" w:hAnsi="Arial" w:cs="Arial"/>
                <w:i/>
                <w:sz w:val="26"/>
                <w:szCs w:val="26"/>
              </w:rPr>
            </w:pPr>
            <w:r>
              <w:rPr>
                <w:rFonts w:ascii="Arial" w:hAnsi="Arial" w:cs="Arial"/>
                <w:i/>
                <w:sz w:val="26"/>
                <w:szCs w:val="26"/>
              </w:rPr>
              <w:t>Se mantienen más de 1700 personas en albergues temporales</w:t>
            </w:r>
          </w:p>
          <w:p w:rsidR="00000000" w:rsidRDefault="00653A33">
            <w:pPr>
              <w:numPr>
                <w:ilvl w:val="0"/>
                <w:numId w:val="2"/>
              </w:numPr>
              <w:spacing w:after="0" w:line="240" w:lineRule="auto"/>
              <w:contextualSpacing/>
              <w:jc w:val="both"/>
              <w:rPr>
                <w:rFonts w:ascii="Arial" w:hAnsi="Arial" w:cs="Arial"/>
                <w:i/>
                <w:sz w:val="26"/>
                <w:szCs w:val="26"/>
              </w:rPr>
            </w:pPr>
            <w:r>
              <w:rPr>
                <w:rFonts w:ascii="Arial" w:hAnsi="Arial" w:cs="Arial"/>
                <w:i/>
                <w:sz w:val="26"/>
                <w:szCs w:val="26"/>
              </w:rPr>
              <w:t>Se mantienen 8 cantones en alerta ROJA</w:t>
            </w:r>
          </w:p>
          <w:p w:rsidR="00000000" w:rsidRDefault="00653A33">
            <w:pPr>
              <w:spacing w:after="0" w:line="240" w:lineRule="auto"/>
              <w:ind w:left="720"/>
              <w:contextualSpacing/>
              <w:jc w:val="both"/>
              <w:rPr>
                <w:rFonts w:ascii="Arial" w:hAnsi="Arial" w:cs="Arial"/>
                <w:i/>
                <w:sz w:val="26"/>
                <w:szCs w:val="26"/>
              </w:rPr>
            </w:pPr>
          </w:p>
          <w:p w:rsidR="00000000" w:rsidRDefault="00653A33">
            <w:pPr>
              <w:spacing w:after="0" w:line="240" w:lineRule="auto"/>
              <w:jc w:val="both"/>
              <w:rPr>
                <w:rFonts w:ascii="Arial" w:hAnsi="Arial" w:cs="Arial"/>
                <w:sz w:val="26"/>
                <w:szCs w:val="26"/>
              </w:rPr>
            </w:pPr>
            <w:r>
              <w:rPr>
                <w:rFonts w:ascii="Arial" w:hAnsi="Arial" w:cs="Arial"/>
                <w:b/>
                <w:i/>
                <w:sz w:val="18"/>
                <w:szCs w:val="26"/>
              </w:rPr>
              <w:t xml:space="preserve">San José, 06 de noviembre del 2020. </w:t>
            </w:r>
            <w:r>
              <w:rPr>
                <w:rFonts w:ascii="Arial" w:hAnsi="Arial" w:cs="Arial"/>
                <w:sz w:val="26"/>
                <w:szCs w:val="26"/>
              </w:rPr>
              <w:t xml:space="preserve">  Aun cuando se </w:t>
            </w:r>
            <w:r>
              <w:rPr>
                <w:rFonts w:ascii="Arial" w:hAnsi="Arial" w:cs="Arial"/>
                <w:sz w:val="26"/>
                <w:szCs w:val="26"/>
              </w:rPr>
              <w:t>prevé una disminución significativa de las lluvias sobre el territorio nacional, la Comisión Nacional de Prevención de Riesgos y Atención de Emergencias (CNE) solicita a la población mantenerse alerta ya que, aunque las lluvias disminuyan la atención de la</w:t>
            </w:r>
            <w:r>
              <w:rPr>
                <w:rFonts w:ascii="Arial" w:hAnsi="Arial" w:cs="Arial"/>
                <w:sz w:val="26"/>
                <w:szCs w:val="26"/>
              </w:rPr>
              <w:t xml:space="preserve"> emergencia continúa.</w:t>
            </w:r>
          </w:p>
          <w:p w:rsidR="00000000" w:rsidRDefault="00653A33">
            <w:pPr>
              <w:spacing w:after="0" w:line="240" w:lineRule="auto"/>
              <w:jc w:val="both"/>
              <w:rPr>
                <w:rFonts w:ascii="Arial" w:hAnsi="Arial" w:cs="Arial"/>
                <w:sz w:val="26"/>
                <w:szCs w:val="26"/>
              </w:rPr>
            </w:pPr>
          </w:p>
          <w:p w:rsidR="00000000" w:rsidRDefault="00653A33">
            <w:pPr>
              <w:spacing w:after="0" w:line="240" w:lineRule="auto"/>
              <w:jc w:val="both"/>
              <w:rPr>
                <w:rFonts w:ascii="Arial" w:hAnsi="Arial" w:cs="Arial"/>
                <w:sz w:val="24"/>
                <w:szCs w:val="24"/>
              </w:rPr>
            </w:pPr>
            <w:r>
              <w:rPr>
                <w:rFonts w:ascii="Arial" w:hAnsi="Arial" w:cs="Arial"/>
                <w:sz w:val="24"/>
                <w:szCs w:val="24"/>
              </w:rPr>
              <w:t xml:space="preserve">El </w:t>
            </w:r>
            <w:r>
              <w:rPr>
                <w:rFonts w:ascii="Arial" w:hAnsi="Arial" w:cs="Arial"/>
                <w:sz w:val="26"/>
                <w:szCs w:val="26"/>
              </w:rPr>
              <w:t>informe del Instituto Meteorológico Nacional (IMN),</w:t>
            </w:r>
            <w:r>
              <w:rPr>
                <w:rFonts w:ascii="Arial" w:hAnsi="Arial" w:cs="Arial"/>
                <w:sz w:val="24"/>
                <w:szCs w:val="24"/>
              </w:rPr>
              <w:t xml:space="preserve"> indica que se espera que este viernes sea un día de transición hacia condiciones lluviosas típicas de la época. Para el sábado, se prevé que el territorio nacional salga del temp</w:t>
            </w:r>
            <w:r>
              <w:rPr>
                <w:rFonts w:ascii="Arial" w:hAnsi="Arial" w:cs="Arial"/>
                <w:sz w:val="24"/>
                <w:szCs w:val="24"/>
              </w:rPr>
              <w:t>oral, y se evidencie una condición menos lluviosa sobre el país.</w:t>
            </w:r>
          </w:p>
          <w:p w:rsidR="00000000" w:rsidRDefault="00653A33">
            <w:pPr>
              <w:spacing w:after="0" w:line="240" w:lineRule="auto"/>
              <w:jc w:val="both"/>
              <w:rPr>
                <w:rFonts w:ascii="Arial" w:hAnsi="Arial" w:cs="Arial"/>
                <w:sz w:val="24"/>
                <w:szCs w:val="24"/>
              </w:rPr>
            </w:pPr>
          </w:p>
          <w:p w:rsidR="00000000" w:rsidRDefault="00653A33">
            <w:pPr>
              <w:spacing w:after="0" w:line="240" w:lineRule="auto"/>
              <w:jc w:val="both"/>
              <w:rPr>
                <w:rFonts w:ascii="Arial" w:hAnsi="Arial" w:cs="Arial"/>
                <w:sz w:val="26"/>
                <w:szCs w:val="26"/>
              </w:rPr>
            </w:pPr>
            <w:r>
              <w:rPr>
                <w:rFonts w:ascii="Arial" w:hAnsi="Arial" w:cs="Arial"/>
                <w:sz w:val="26"/>
                <w:szCs w:val="26"/>
              </w:rPr>
              <w:t xml:space="preserve">De acuerdo con los especialistas, la alta saturación de los suelos hace prever que se vayan a presentar más deslizamientos y alta vulnerabilidad en carreteras. </w:t>
            </w:r>
          </w:p>
          <w:p w:rsidR="00000000" w:rsidRDefault="00653A33">
            <w:pPr>
              <w:spacing w:after="0" w:line="240" w:lineRule="auto"/>
              <w:jc w:val="both"/>
              <w:rPr>
                <w:rFonts w:ascii="Arial" w:hAnsi="Arial" w:cs="Arial"/>
                <w:sz w:val="26"/>
                <w:szCs w:val="26"/>
              </w:rPr>
            </w:pPr>
          </w:p>
          <w:p w:rsidR="00000000" w:rsidRDefault="00653A33">
            <w:pPr>
              <w:spacing w:after="0" w:line="240" w:lineRule="auto"/>
              <w:jc w:val="both"/>
              <w:rPr>
                <w:rFonts w:ascii="Arial" w:hAnsi="Arial" w:cs="Arial"/>
                <w:b/>
                <w:bCs/>
                <w:sz w:val="24"/>
                <w:szCs w:val="24"/>
              </w:rPr>
            </w:pPr>
            <w:r>
              <w:rPr>
                <w:rFonts w:ascii="Arial" w:hAnsi="Arial" w:cs="Arial"/>
                <w:b/>
                <w:bCs/>
                <w:sz w:val="24"/>
                <w:szCs w:val="24"/>
              </w:rPr>
              <w:t>Balance de daños</w:t>
            </w:r>
          </w:p>
          <w:p w:rsidR="00000000" w:rsidRDefault="00653A33">
            <w:pPr>
              <w:spacing w:after="0" w:line="240" w:lineRule="auto"/>
              <w:jc w:val="both"/>
              <w:rPr>
                <w:rFonts w:ascii="Arial" w:hAnsi="Arial" w:cs="Arial"/>
                <w:sz w:val="24"/>
                <w:szCs w:val="24"/>
              </w:rPr>
            </w:pPr>
          </w:p>
          <w:p w:rsidR="00000000" w:rsidRDefault="00653A33">
            <w:pPr>
              <w:spacing w:after="0" w:line="240" w:lineRule="auto"/>
              <w:jc w:val="both"/>
              <w:rPr>
                <w:rFonts w:ascii="Arial" w:hAnsi="Arial" w:cs="Arial"/>
                <w:sz w:val="24"/>
                <w:szCs w:val="24"/>
              </w:rPr>
            </w:pPr>
            <w:r>
              <w:rPr>
                <w:rFonts w:ascii="Arial" w:hAnsi="Arial" w:cs="Arial"/>
                <w:sz w:val="24"/>
                <w:szCs w:val="24"/>
              </w:rPr>
              <w:t xml:space="preserve">Producto de la emergencia que ha generado la influencia indirecta de la depresión tropical ETA, se atienden </w:t>
            </w:r>
            <w:r>
              <w:rPr>
                <w:rFonts w:ascii="Arial" w:hAnsi="Arial" w:cs="Arial"/>
                <w:b/>
                <w:bCs/>
                <w:sz w:val="24"/>
                <w:szCs w:val="24"/>
              </w:rPr>
              <w:t xml:space="preserve">1 732 </w:t>
            </w:r>
            <w:r>
              <w:rPr>
                <w:rFonts w:ascii="Arial" w:hAnsi="Arial" w:cs="Arial"/>
                <w:sz w:val="24"/>
                <w:szCs w:val="24"/>
              </w:rPr>
              <w:t xml:space="preserve">personas albergadas en </w:t>
            </w:r>
            <w:r>
              <w:rPr>
                <w:rFonts w:ascii="Arial" w:hAnsi="Arial" w:cs="Arial"/>
                <w:b/>
                <w:bCs/>
                <w:sz w:val="24"/>
                <w:szCs w:val="24"/>
              </w:rPr>
              <w:t>48 alojamientos temporales</w:t>
            </w:r>
            <w:r>
              <w:rPr>
                <w:rFonts w:ascii="Arial" w:hAnsi="Arial" w:cs="Arial"/>
                <w:sz w:val="24"/>
                <w:szCs w:val="24"/>
              </w:rPr>
              <w:t xml:space="preserve"> a lo largo de la Vertiente del Pacífico y Guanacaste.</w:t>
            </w:r>
          </w:p>
          <w:p w:rsidR="00000000" w:rsidRDefault="00653A33">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398770" cy="4047490"/>
                  <wp:effectExtent l="0" t="0" r="0" b="0"/>
                  <wp:docPr id="2" name="Imagen 2" descr="Imagen que contiene techo, interior, edifici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cho, interior, edificio, 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653A33">
            <w:pPr>
              <w:spacing w:after="0" w:line="240" w:lineRule="auto"/>
              <w:jc w:val="both"/>
              <w:rPr>
                <w:rFonts w:ascii="Arial" w:hAnsi="Arial" w:cs="Arial"/>
                <w:sz w:val="24"/>
                <w:szCs w:val="24"/>
              </w:rPr>
            </w:pPr>
          </w:p>
          <w:p w:rsidR="00000000" w:rsidRDefault="00653A33">
            <w:pPr>
              <w:spacing w:line="256" w:lineRule="auto"/>
              <w:jc w:val="both"/>
              <w:rPr>
                <w:rFonts w:ascii="Arial" w:hAnsi="Arial" w:cs="Arial"/>
                <w:sz w:val="24"/>
                <w:szCs w:val="24"/>
              </w:rPr>
            </w:pPr>
            <w:r>
              <w:rPr>
                <w:rFonts w:ascii="Arial" w:hAnsi="Arial" w:cs="Arial"/>
                <w:sz w:val="24"/>
                <w:szCs w:val="24"/>
              </w:rPr>
              <w:t>Hasta el momento se tienen registra</w:t>
            </w:r>
            <w:r>
              <w:rPr>
                <w:rFonts w:ascii="Arial" w:hAnsi="Arial" w:cs="Arial"/>
                <w:sz w:val="24"/>
                <w:szCs w:val="24"/>
              </w:rPr>
              <w:t xml:space="preserve">das 57 473 personas con algún nivel de afectación por servicios eléctricos principalmente en la Región Chorotega. De estas </w:t>
            </w:r>
            <w:r>
              <w:rPr>
                <w:rFonts w:ascii="Arial" w:hAnsi="Arial" w:cs="Arial"/>
                <w:bCs/>
                <w:iCs/>
                <w:sz w:val="24"/>
                <w:szCs w:val="24"/>
              </w:rPr>
              <w:t>5 322 no tienen reestablecido su servicio.</w:t>
            </w:r>
          </w:p>
          <w:p w:rsidR="00000000" w:rsidRDefault="00653A33">
            <w:pPr>
              <w:spacing w:after="0" w:line="240" w:lineRule="auto"/>
              <w:jc w:val="both"/>
              <w:rPr>
                <w:rFonts w:ascii="Arial" w:hAnsi="Arial" w:cs="Arial"/>
                <w:bCs/>
                <w:iCs/>
                <w:sz w:val="24"/>
                <w:szCs w:val="24"/>
              </w:rPr>
            </w:pPr>
            <w:r>
              <w:rPr>
                <w:rFonts w:ascii="Arial" w:hAnsi="Arial" w:cs="Arial"/>
                <w:sz w:val="24"/>
                <w:szCs w:val="24"/>
              </w:rPr>
              <w:t xml:space="preserve">Aproximadamente 29 563 personas, principalmente de los cantones de </w:t>
            </w:r>
            <w:r>
              <w:rPr>
                <w:rFonts w:ascii="Arial" w:hAnsi="Arial" w:cs="Arial"/>
                <w:bCs/>
                <w:iCs/>
                <w:sz w:val="24"/>
                <w:szCs w:val="24"/>
              </w:rPr>
              <w:t>Buenos Aires, San Isidr</w:t>
            </w:r>
            <w:r>
              <w:rPr>
                <w:rFonts w:ascii="Arial" w:hAnsi="Arial" w:cs="Arial"/>
                <w:bCs/>
                <w:iCs/>
                <w:sz w:val="24"/>
                <w:szCs w:val="24"/>
              </w:rPr>
              <w:t xml:space="preserve">o de Pérez Zeledón, así como Ciudad Neilly y Coto Brus </w:t>
            </w:r>
            <w:r>
              <w:rPr>
                <w:rFonts w:ascii="Arial" w:hAnsi="Arial" w:cs="Arial"/>
                <w:sz w:val="24"/>
                <w:szCs w:val="24"/>
              </w:rPr>
              <w:t>han presentado problemas en el servicio de agua,</w:t>
            </w:r>
            <w:r>
              <w:rPr>
                <w:rFonts w:ascii="Arial" w:hAnsi="Arial" w:cs="Arial"/>
                <w:bCs/>
                <w:iCs/>
                <w:sz w:val="24"/>
                <w:szCs w:val="24"/>
              </w:rPr>
              <w:t xml:space="preserve"> la mayoría relacionados a la línea de convicción.</w:t>
            </w:r>
          </w:p>
          <w:p w:rsidR="00000000" w:rsidRDefault="00653A33">
            <w:pPr>
              <w:spacing w:after="0" w:line="240" w:lineRule="auto"/>
              <w:jc w:val="both"/>
              <w:rPr>
                <w:rFonts w:ascii="Arial" w:hAnsi="Arial" w:cs="Arial"/>
                <w:bCs/>
                <w:iCs/>
                <w:sz w:val="24"/>
                <w:szCs w:val="24"/>
              </w:rPr>
            </w:pPr>
          </w:p>
          <w:p w:rsidR="00000000" w:rsidRDefault="00653A33">
            <w:pPr>
              <w:spacing w:after="0" w:line="240" w:lineRule="auto"/>
              <w:jc w:val="both"/>
              <w:rPr>
                <w:rFonts w:ascii="Arial" w:hAnsi="Arial" w:cs="Arial"/>
                <w:bCs/>
                <w:iCs/>
                <w:sz w:val="24"/>
                <w:szCs w:val="24"/>
              </w:rPr>
            </w:pPr>
            <w:r>
              <w:rPr>
                <w:rFonts w:ascii="Arial" w:hAnsi="Arial" w:cs="Arial"/>
                <w:sz w:val="24"/>
                <w:szCs w:val="24"/>
              </w:rPr>
              <w:t xml:space="preserve">Las fuertes lluvias provocaron el cierre de </w:t>
            </w:r>
            <w:r>
              <w:rPr>
                <w:rFonts w:ascii="Arial" w:hAnsi="Arial" w:cs="Arial"/>
                <w:bCs/>
                <w:iCs/>
                <w:sz w:val="24"/>
                <w:szCs w:val="24"/>
              </w:rPr>
              <w:t>26 puntos en carreteras principalmente por caída de mater</w:t>
            </w:r>
            <w:r>
              <w:rPr>
                <w:rFonts w:ascii="Arial" w:hAnsi="Arial" w:cs="Arial"/>
                <w:bCs/>
                <w:iCs/>
                <w:sz w:val="24"/>
                <w:szCs w:val="24"/>
              </w:rPr>
              <w:t xml:space="preserve">ial, las cuales son atendidas por CONAVI, CNE y maquinaria de las municipalidades. </w:t>
            </w:r>
          </w:p>
          <w:p w:rsidR="00000000" w:rsidRDefault="00653A33">
            <w:pPr>
              <w:spacing w:after="0" w:line="240" w:lineRule="auto"/>
              <w:jc w:val="both"/>
              <w:rPr>
                <w:rFonts w:ascii="Arial" w:hAnsi="Arial" w:cs="Arial"/>
                <w:bCs/>
                <w:iCs/>
                <w:sz w:val="24"/>
                <w:szCs w:val="24"/>
              </w:rPr>
            </w:pPr>
          </w:p>
          <w:p w:rsidR="00000000" w:rsidRDefault="00653A33">
            <w:pPr>
              <w:spacing w:after="0" w:line="240" w:lineRule="auto"/>
              <w:jc w:val="both"/>
              <w:rPr>
                <w:rFonts w:ascii="Arial" w:hAnsi="Arial" w:cs="Arial"/>
                <w:sz w:val="26"/>
                <w:szCs w:val="26"/>
              </w:rPr>
            </w:pPr>
            <w:r>
              <w:rPr>
                <w:rFonts w:ascii="Arial" w:hAnsi="Arial" w:cs="Arial"/>
                <w:bCs/>
                <w:iCs/>
                <w:sz w:val="24"/>
                <w:szCs w:val="24"/>
              </w:rPr>
              <w:t xml:space="preserve">Una de las tareas prioritarias, es la evaluación de los daños conforme las condiciones mejoran y bajan paulatinamente las aguas.  Para ello, se conforman grupos técnicos </w:t>
            </w:r>
            <w:r>
              <w:rPr>
                <w:rFonts w:ascii="Arial" w:hAnsi="Arial" w:cs="Arial"/>
                <w:sz w:val="26"/>
                <w:szCs w:val="26"/>
              </w:rPr>
              <w:t>e</w:t>
            </w:r>
            <w:r>
              <w:rPr>
                <w:rFonts w:ascii="Arial" w:hAnsi="Arial" w:cs="Arial"/>
                <w:sz w:val="26"/>
                <w:szCs w:val="26"/>
              </w:rPr>
              <w:t>n las zonas para evaluar infraestructura, condición geológica de los ríos y deslizamientos activos, entre otros</w:t>
            </w:r>
            <w:r>
              <w:rPr>
                <w:rFonts w:ascii="Arial" w:hAnsi="Arial" w:cs="Arial"/>
                <w:sz w:val="26"/>
                <w:szCs w:val="26"/>
                <w:highlight w:val="yellow"/>
              </w:rPr>
              <w:t xml:space="preserve"> </w:t>
            </w:r>
            <w:r>
              <w:rPr>
                <w:rFonts w:ascii="Arial" w:hAnsi="Arial" w:cs="Arial"/>
                <w:sz w:val="24"/>
                <w:szCs w:val="24"/>
                <w:highlight w:val="yellow"/>
              </w:rPr>
              <w:t xml:space="preserve">  </w:t>
            </w:r>
          </w:p>
          <w:p w:rsidR="00000000" w:rsidRDefault="00653A33">
            <w:pPr>
              <w:spacing w:after="0" w:line="240" w:lineRule="auto"/>
              <w:jc w:val="both"/>
              <w:rPr>
                <w:rFonts w:ascii="Arial" w:hAnsi="Arial" w:cs="Arial"/>
                <w:bCs/>
                <w:iCs/>
                <w:sz w:val="24"/>
                <w:szCs w:val="24"/>
              </w:rPr>
            </w:pPr>
          </w:p>
          <w:p w:rsidR="00000000" w:rsidRDefault="00653A33">
            <w:pPr>
              <w:spacing w:after="0" w:line="240" w:lineRule="auto"/>
              <w:jc w:val="both"/>
              <w:rPr>
                <w:rFonts w:ascii="Arial" w:hAnsi="Arial" w:cs="Arial"/>
                <w:b/>
                <w:iCs/>
                <w:sz w:val="24"/>
                <w:szCs w:val="24"/>
              </w:rPr>
            </w:pPr>
            <w:r>
              <w:rPr>
                <w:rFonts w:ascii="Arial" w:hAnsi="Arial" w:cs="Arial"/>
                <w:b/>
                <w:iCs/>
                <w:sz w:val="24"/>
                <w:szCs w:val="24"/>
              </w:rPr>
              <w:t>Trabajo interinstitucional</w:t>
            </w:r>
          </w:p>
          <w:p w:rsidR="00000000" w:rsidRDefault="00653A33">
            <w:pPr>
              <w:spacing w:after="0" w:line="240" w:lineRule="auto"/>
              <w:jc w:val="both"/>
              <w:rPr>
                <w:rFonts w:ascii="Arial" w:hAnsi="Arial" w:cs="Arial"/>
                <w:bCs/>
                <w:iCs/>
                <w:sz w:val="24"/>
                <w:szCs w:val="24"/>
              </w:rPr>
            </w:pPr>
          </w:p>
          <w:p w:rsidR="00000000" w:rsidRDefault="00653A33">
            <w:pPr>
              <w:spacing w:line="256" w:lineRule="auto"/>
              <w:jc w:val="both"/>
              <w:rPr>
                <w:rFonts w:ascii="Arial" w:hAnsi="Arial" w:cs="Arial"/>
                <w:sz w:val="24"/>
                <w:szCs w:val="24"/>
              </w:rPr>
            </w:pPr>
            <w:r>
              <w:rPr>
                <w:rFonts w:ascii="Arial" w:hAnsi="Arial" w:cs="Arial"/>
                <w:sz w:val="24"/>
                <w:szCs w:val="24"/>
              </w:rPr>
              <w:t xml:space="preserve">Con el fin de dar una oportuna asistencia </w:t>
            </w:r>
            <w:r>
              <w:rPr>
                <w:rFonts w:ascii="Arial" w:hAnsi="Arial" w:cs="Arial"/>
                <w:sz w:val="24"/>
                <w:szCs w:val="24"/>
              </w:rPr>
              <w:t>humanitaria a las personas y dar vigilancia al fenómeno atmosférico, los Comités de Emergencia se mantendrán activos durante todo el fin de semana para la atención de las personas en albergues temporales y la evaluación de los daños.</w:t>
            </w:r>
          </w:p>
          <w:p w:rsidR="00000000" w:rsidRDefault="00653A33">
            <w:pPr>
              <w:spacing w:line="256" w:lineRule="auto"/>
              <w:jc w:val="both"/>
              <w:rPr>
                <w:rFonts w:ascii="Arial" w:hAnsi="Arial" w:cs="Arial"/>
                <w:bCs/>
                <w:iCs/>
                <w:sz w:val="24"/>
                <w:szCs w:val="24"/>
                <w:lang w:val="es-PA"/>
              </w:rPr>
            </w:pPr>
            <w:r>
              <w:rPr>
                <w:rFonts w:ascii="Arial" w:hAnsi="Arial" w:cs="Arial"/>
                <w:sz w:val="24"/>
                <w:szCs w:val="24"/>
              </w:rPr>
              <w:t>La CNE mantiene la art</w:t>
            </w:r>
            <w:r>
              <w:rPr>
                <w:rFonts w:ascii="Arial" w:hAnsi="Arial" w:cs="Arial"/>
                <w:sz w:val="24"/>
                <w:szCs w:val="24"/>
              </w:rPr>
              <w:t xml:space="preserve">iculación de las instituciones y las acciones operativas y </w:t>
            </w:r>
            <w:r>
              <w:rPr>
                <w:rFonts w:ascii="Arial" w:hAnsi="Arial" w:cs="Arial"/>
                <w:bCs/>
                <w:iCs/>
                <w:sz w:val="24"/>
                <w:szCs w:val="24"/>
                <w:lang w:val="es-PA"/>
              </w:rPr>
              <w:t xml:space="preserve">de respuesta institucional a los eventos presentados tales como: valoraciones, evacuación, rescate, atención médica, </w:t>
            </w:r>
            <w:r>
              <w:rPr>
                <w:rFonts w:ascii="Arial" w:hAnsi="Arial" w:cs="Arial"/>
                <w:bCs/>
                <w:iCs/>
                <w:sz w:val="24"/>
                <w:szCs w:val="24"/>
              </w:rPr>
              <w:t xml:space="preserve">limpieza de vías, </w:t>
            </w:r>
            <w:r>
              <w:rPr>
                <w:rFonts w:ascii="Arial" w:hAnsi="Arial" w:cs="Arial"/>
                <w:bCs/>
                <w:iCs/>
                <w:sz w:val="24"/>
                <w:szCs w:val="24"/>
                <w:lang w:val="es-PA"/>
              </w:rPr>
              <w:t>etc.</w:t>
            </w:r>
          </w:p>
          <w:p w:rsidR="00000000" w:rsidRDefault="00653A33">
            <w:pPr>
              <w:spacing w:line="256" w:lineRule="auto"/>
              <w:jc w:val="center"/>
              <w:rPr>
                <w:rFonts w:ascii="Arial" w:hAnsi="Arial" w:cs="Arial"/>
                <w:bCs/>
                <w:iCs/>
                <w:sz w:val="24"/>
                <w:szCs w:val="24"/>
                <w:lang w:val="es-PA"/>
              </w:rPr>
            </w:pPr>
            <w:r>
              <w:rPr>
                <w:rFonts w:ascii="Arial" w:hAnsi="Arial" w:cs="Arial"/>
                <w:noProof/>
                <w:sz w:val="24"/>
                <w:szCs w:val="24"/>
                <w:lang w:val="es-PA"/>
              </w:rPr>
              <w:drawing>
                <wp:inline distT="0" distB="0" distL="0" distR="0">
                  <wp:extent cx="5398770" cy="4047490"/>
                  <wp:effectExtent l="0" t="0" r="0" b="0"/>
                  <wp:docPr id="3" name="Imagen 3" descr="Imagen que contiene exterior, excavadora, montaña, transpor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exterior, excavadora, montaña, transport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653A33">
            <w:pPr>
              <w:spacing w:line="240" w:lineRule="auto"/>
              <w:jc w:val="both"/>
              <w:rPr>
                <w:rFonts w:ascii="Arial" w:hAnsi="Arial" w:cs="Arial"/>
                <w:b/>
                <w:iCs/>
                <w:sz w:val="24"/>
                <w:szCs w:val="24"/>
              </w:rPr>
            </w:pPr>
            <w:r>
              <w:rPr>
                <w:rFonts w:ascii="Arial" w:hAnsi="Arial" w:cs="Arial"/>
                <w:b/>
                <w:iCs/>
                <w:sz w:val="24"/>
                <w:szCs w:val="24"/>
                <w:lang w:val="es-PA"/>
              </w:rPr>
              <w:t>Recomendaciones y Alertas</w:t>
            </w:r>
          </w:p>
          <w:p w:rsidR="00000000" w:rsidRDefault="00653A33">
            <w:pPr>
              <w:spacing w:after="0" w:line="240" w:lineRule="auto"/>
              <w:jc w:val="both"/>
              <w:rPr>
                <w:rFonts w:ascii="Arial" w:hAnsi="Arial" w:cs="Arial"/>
                <w:sz w:val="24"/>
                <w:szCs w:val="24"/>
              </w:rPr>
            </w:pPr>
            <w:r>
              <w:rPr>
                <w:rFonts w:ascii="Arial" w:hAnsi="Arial" w:cs="Arial"/>
                <w:sz w:val="24"/>
                <w:szCs w:val="24"/>
              </w:rPr>
              <w:t xml:space="preserve">Se recomienda a la población </w:t>
            </w:r>
            <w:r>
              <w:rPr>
                <w:rFonts w:ascii="Arial" w:hAnsi="Arial" w:cs="Arial"/>
                <w:sz w:val="24"/>
                <w:szCs w:val="24"/>
              </w:rPr>
              <w:t xml:space="preserve">que habita en zonas de riesgo, para que se mantengan vigilantes y acaten las recomendaciones de los entes oficiales.  </w:t>
            </w:r>
          </w:p>
          <w:p w:rsidR="00000000" w:rsidRDefault="00653A33">
            <w:pPr>
              <w:spacing w:after="0" w:line="240" w:lineRule="auto"/>
              <w:jc w:val="both"/>
              <w:rPr>
                <w:rFonts w:ascii="Arial" w:hAnsi="Arial" w:cs="Arial"/>
              </w:rPr>
            </w:pPr>
          </w:p>
          <w:p w:rsidR="00000000" w:rsidRDefault="00653A33">
            <w:pPr>
              <w:spacing w:after="0" w:line="240" w:lineRule="auto"/>
              <w:jc w:val="both"/>
              <w:rPr>
                <w:rFonts w:ascii="Arial" w:hAnsi="Arial" w:cs="Arial"/>
                <w:sz w:val="24"/>
                <w:szCs w:val="24"/>
              </w:rPr>
            </w:pPr>
            <w:r>
              <w:rPr>
                <w:rFonts w:ascii="Arial" w:hAnsi="Arial" w:cs="Arial"/>
                <w:sz w:val="24"/>
                <w:szCs w:val="24"/>
              </w:rPr>
              <w:t xml:space="preserve">La CNE mantiene el estado de </w:t>
            </w:r>
            <w:r>
              <w:rPr>
                <w:rFonts w:ascii="Arial" w:hAnsi="Arial" w:cs="Arial"/>
                <w:b/>
                <w:bCs/>
                <w:sz w:val="24"/>
                <w:szCs w:val="24"/>
              </w:rPr>
              <w:t>Alerta Roja</w:t>
            </w:r>
            <w:r>
              <w:rPr>
                <w:rFonts w:ascii="Arial" w:hAnsi="Arial" w:cs="Arial"/>
                <w:sz w:val="24"/>
                <w:szCs w:val="24"/>
              </w:rPr>
              <w:t xml:space="preserve"> para </w:t>
            </w:r>
            <w:r>
              <w:rPr>
                <w:rFonts w:ascii="Arial" w:hAnsi="Arial" w:cs="Arial"/>
                <w:sz w:val="24"/>
                <w:szCs w:val="24"/>
              </w:rPr>
              <w:t>Hojancha, Nandayure, Nicoya, Corredores, Coto Brus, Parrita, Quepos y Golfito.</w:t>
            </w:r>
          </w:p>
          <w:p w:rsidR="00000000" w:rsidRDefault="00653A33">
            <w:pPr>
              <w:spacing w:after="0" w:line="240" w:lineRule="auto"/>
              <w:jc w:val="both"/>
              <w:rPr>
                <w:rFonts w:ascii="Arial" w:hAnsi="Arial" w:cs="Arial"/>
                <w:sz w:val="24"/>
                <w:szCs w:val="24"/>
              </w:rPr>
            </w:pPr>
          </w:p>
          <w:p w:rsidR="00000000" w:rsidRDefault="00653A33">
            <w:pPr>
              <w:spacing w:after="0" w:line="240" w:lineRule="auto"/>
              <w:jc w:val="both"/>
              <w:rPr>
                <w:rFonts w:ascii="Arial" w:hAnsi="Arial" w:cs="Arial"/>
                <w:sz w:val="24"/>
                <w:szCs w:val="24"/>
              </w:rPr>
            </w:pPr>
            <w:r>
              <w:rPr>
                <w:rFonts w:ascii="Arial" w:hAnsi="Arial" w:cs="Arial"/>
                <w:sz w:val="24"/>
                <w:szCs w:val="24"/>
              </w:rPr>
              <w:t xml:space="preserve">Además, mantiene el estado de </w:t>
            </w:r>
            <w:r>
              <w:rPr>
                <w:rFonts w:ascii="Arial" w:hAnsi="Arial" w:cs="Arial"/>
                <w:b/>
                <w:bCs/>
                <w:sz w:val="24"/>
                <w:szCs w:val="24"/>
              </w:rPr>
              <w:t>Alerta Naranja</w:t>
            </w:r>
            <w:r>
              <w:rPr>
                <w:rFonts w:ascii="Arial" w:hAnsi="Arial" w:cs="Arial"/>
                <w:sz w:val="24"/>
                <w:szCs w:val="24"/>
              </w:rPr>
              <w:t xml:space="preserve"> para Upala, y la Vertiente del Pacífico (excepto Hojancha, Nandayure, Nicoya Corredores, Parrita, Quepos Coto Brus y Golfito). </w:t>
            </w:r>
          </w:p>
          <w:p w:rsidR="00000000" w:rsidRDefault="00653A33">
            <w:pPr>
              <w:spacing w:after="0" w:line="240" w:lineRule="auto"/>
              <w:jc w:val="both"/>
              <w:rPr>
                <w:rFonts w:ascii="Arial" w:hAnsi="Arial" w:cs="Arial"/>
                <w:sz w:val="24"/>
                <w:szCs w:val="24"/>
              </w:rPr>
            </w:pPr>
          </w:p>
          <w:p w:rsidR="00000000" w:rsidRDefault="00653A33">
            <w:pPr>
              <w:spacing w:after="0" w:line="240" w:lineRule="auto"/>
              <w:jc w:val="both"/>
              <w:rPr>
                <w:rFonts w:ascii="Arial" w:hAnsi="Arial" w:cs="Arial"/>
                <w:b/>
                <w:bCs/>
                <w:sz w:val="24"/>
                <w:szCs w:val="24"/>
              </w:rPr>
            </w:pPr>
            <w:r>
              <w:rPr>
                <w:rFonts w:ascii="Arial" w:hAnsi="Arial" w:cs="Arial"/>
                <w:sz w:val="24"/>
                <w:szCs w:val="24"/>
              </w:rPr>
              <w:t>Se</w:t>
            </w:r>
            <w:r>
              <w:rPr>
                <w:rFonts w:ascii="Arial" w:hAnsi="Arial" w:cs="Arial"/>
                <w:sz w:val="24"/>
                <w:szCs w:val="24"/>
              </w:rPr>
              <w:t xml:space="preserve"> mantiene la </w:t>
            </w:r>
            <w:r>
              <w:rPr>
                <w:rFonts w:ascii="Arial" w:hAnsi="Arial" w:cs="Arial"/>
                <w:b/>
                <w:bCs/>
                <w:sz w:val="24"/>
                <w:szCs w:val="24"/>
              </w:rPr>
              <w:t>Alerta Amarilla</w:t>
            </w:r>
            <w:r>
              <w:rPr>
                <w:rFonts w:ascii="Arial" w:hAnsi="Arial" w:cs="Arial"/>
                <w:sz w:val="24"/>
                <w:szCs w:val="24"/>
              </w:rPr>
              <w:t xml:space="preserve"> para la Zona Norte (excepto Upala) y el Valle Central.  La Región Caribe continúa en </w:t>
            </w:r>
            <w:r>
              <w:rPr>
                <w:rFonts w:ascii="Arial" w:hAnsi="Arial" w:cs="Arial"/>
                <w:b/>
                <w:bCs/>
                <w:sz w:val="24"/>
                <w:szCs w:val="24"/>
              </w:rPr>
              <w:t>Alerta Verde.</w:t>
            </w:r>
          </w:p>
          <w:p w:rsidR="00000000" w:rsidRDefault="00653A33">
            <w:pPr>
              <w:jc w:val="center"/>
              <w:rPr>
                <w:rFonts w:ascii="Arial" w:hAnsi="Arial" w:cs="Arial"/>
                <w:bCs/>
                <w:iCs/>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53A33">
            <w:pPr>
              <w:spacing w:after="0" w:line="240" w:lineRule="auto"/>
              <w:rPr>
                <w:bCs/>
                <w:color w:val="000000"/>
                <w:sz w:val="40"/>
                <w:szCs w:val="40"/>
                <w:lang w:eastAsia="es-CR"/>
              </w:rPr>
            </w:pPr>
          </w:p>
        </w:tc>
      </w:tr>
    </w:tbl>
    <w:p w:rsidR="00000000" w:rsidRDefault="00653A33">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D07F4"/>
    <w:multiLevelType w:val="hybridMultilevel"/>
    <w:tmpl w:val="97AE5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04619497">
    <w:abstractNumId w:val="0"/>
  </w:num>
  <w:num w:numId="2" w16cid:durableId="3897731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33"/>
    <w:rsid w:val="00653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2957</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2022-05-13T19:42:00Z</dcterms:created>
  <dcterms:modified xsi:type="dcterms:W3CDTF">2022-05-13T19:42:00Z</dcterms:modified>
</cp:coreProperties>
</file>