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1"/>
        <w:gridCol w:w="2981"/>
        <w:gridCol w:w="2946"/>
        <w:gridCol w:w="474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garantiza transparencia de múltiples donaciones mediante creación de procedimiento</w:t>
            </w:r>
          </w:p>
          <w:p w:rsidR="00000000" w:rsidRDefault="004432FB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5581650" cy="2886075"/>
                  <wp:effectExtent l="0" t="0" r="0" b="9525"/>
                  <wp:docPr id="1" name="Imagen 1" descr="Imagen que contiene interior, tabla, cuarto, pequeñ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interior, tabla, cuarto, pequeñ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432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La CNE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ha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obtenido la respuesta solidaria del país gracias al ofrecimiento de cerca de 260 empresas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mediante sus donaciones o venta de sus productos o servicios.</w:t>
            </w:r>
          </w:p>
          <w:p w:rsidR="00000000" w:rsidRDefault="004432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La CNE redactó un procedimiento que garantiza la transparencia de las donaciones.</w:t>
            </w:r>
          </w:p>
          <w:p w:rsidR="00000000" w:rsidRDefault="004432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CNE habilitó este juev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es centro de acopio en bodega prestada por la Iglesia Ciudad de Dios  </w:t>
            </w:r>
          </w:p>
          <w:p w:rsidR="00000000" w:rsidRDefault="004432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La CNE habilitó la dirección de correo electrónica logisticacovid19@cne.go.cr para empresas o personas que desean donar sus productos o servicios.</w:t>
            </w:r>
          </w:p>
          <w:p w:rsidR="00000000" w:rsidRDefault="004432FB">
            <w:pPr>
              <w:pStyle w:val="Prrafodelista"/>
              <w:spacing w:after="0" w:line="240" w:lineRule="auto"/>
              <w:ind w:left="50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:rsidR="00000000" w:rsidRDefault="004432FB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San José, 02 de abril del 2020</w:t>
            </w:r>
            <w:r>
              <w:rPr>
                <w:rFonts w:ascii="Arial" w:hAnsi="Arial" w:cs="Arial"/>
                <w:color w:val="000000" w:themeColor="text1"/>
                <w:sz w:val="24"/>
              </w:rPr>
              <w:t>.  Ante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la situación de emergencia del COVID-19, la Comisión Nacional de Prevención de Riesgos y Atención de Emergencias (CNE), ha obtenido la respuesta solidaria del país por medio del ofrecimiento de aproximadamente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260 empresas</w:t>
            </w:r>
            <w:r>
              <w:rPr>
                <w:rFonts w:ascii="Arial" w:hAnsi="Arial" w:cs="Arial"/>
                <w:color w:val="000000" w:themeColor="text1"/>
                <w:sz w:val="24"/>
              </w:rPr>
              <w:t>. Trasnacionales, ONG´s, iglesias</w:t>
            </w:r>
            <w:r>
              <w:rPr>
                <w:rFonts w:ascii="Arial" w:hAnsi="Arial" w:cs="Arial"/>
                <w:color w:val="000000" w:themeColor="text1"/>
                <w:sz w:val="24"/>
              </w:rPr>
              <w:t>, pymes, e incluso personas físicas, apoyan mediante sus donaciones o bien ofrecen la venta de sus productos o servicios.</w:t>
            </w:r>
          </w:p>
          <w:p w:rsidR="00000000" w:rsidRDefault="004432FB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bookmarkStart w:id="0" w:name="_Hlk36719676"/>
            <w:r>
              <w:rPr>
                <w:rFonts w:ascii="Arial" w:hAnsi="Arial" w:cs="Arial"/>
                <w:color w:val="000000" w:themeColor="text1"/>
                <w:sz w:val="24"/>
              </w:rPr>
              <w:t>La CNE anunció en conferencia de prensa, la puesta en marcha de un procedimiento que garantiza la transparencia de las donaciones, que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deben canalizarse por medio de la CNE según lo estipula </w:t>
            </w:r>
            <w:bookmarkEnd w:id="0"/>
            <w:r>
              <w:rPr>
                <w:rFonts w:ascii="Arial" w:hAnsi="Arial" w:cs="Arial"/>
                <w:color w:val="000000" w:themeColor="text1"/>
                <w:sz w:val="24"/>
              </w:rPr>
              <w:t>el artículo 48 de la Ley Nacional de Emergencias y Prevención del Riesgo (Ley 8488). (Ver cuadro)</w:t>
            </w:r>
          </w:p>
          <w:p w:rsidR="00000000" w:rsidRDefault="004432FB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Las empresas o personas físicas que deseen colaborar mediante donaciones deben enviar un correo elect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rónico a la dirección logisticacovid19@cne.go.cr, explicando los detalles de la donación. Posteriormente, la CNE contactará al oferente para firmar un convenio con los términos establecidos.  </w:t>
            </w:r>
          </w:p>
          <w:p w:rsidR="00000000" w:rsidRDefault="004432F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Respuesta Solidaria</w:t>
            </w:r>
          </w:p>
          <w:p w:rsidR="00000000" w:rsidRDefault="004432FB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</w:rPr>
              <w:t>Algunas de las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empresas que ofrecieron sus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donaciones es la Iglesia Ciudad de Dios, que ofreció unas bodegas para utilizarlas como un gran centro de acopio y base de operaciones bajo la coordinación del equipo de logística de la CNE y el Centro de Operaciones de Emergencias (COE). </w:t>
            </w:r>
          </w:p>
          <w:p w:rsidR="00000000" w:rsidRDefault="004432F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4531995" cy="2584450"/>
                  <wp:effectExtent l="0" t="0" r="1905" b="6350"/>
                  <wp:docPr id="2" name="Imagen 3" descr="Imagen que contiene edificio, hombre, ventana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edificio, hombre, ventana, para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432F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Este jueves dio inicio la operación en dichas instalaciones que cuentan con 6 000 metros. (m</w:t>
            </w:r>
            <w:r>
              <w:rPr>
                <w:rFonts w:ascii="Arial" w:hAnsi="Arial" w:cs="Arial"/>
                <w:color w:val="000000" w:themeColor="text1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) y contará con el </w:t>
            </w:r>
            <w:r>
              <w:rPr>
                <w:rFonts w:ascii="Arial" w:hAnsi="Arial" w:cs="Arial"/>
                <w:sz w:val="24"/>
              </w:rPr>
              <w:t>acompañamiento de la empresa DHL para el manejo y logística de la bodega.</w:t>
            </w:r>
          </w:p>
          <w:p w:rsidR="00000000" w:rsidRDefault="004432F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El centro de acopio almacenará equipos de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protección médica, las donaciones que realicen las </w:t>
            </w:r>
            <w:r>
              <w:rPr>
                <w:rFonts w:ascii="Arial" w:hAnsi="Arial" w:cs="Arial"/>
                <w:sz w:val="24"/>
              </w:rPr>
              <w:t>empresas y personas físicas, así como las adquisiciones que realiza la CNE, que garantizarán un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adecuado almacenamiento de insumos, la </w:t>
            </w:r>
            <w:r>
              <w:rPr>
                <w:rFonts w:ascii="Arial" w:hAnsi="Arial" w:cs="Arial"/>
                <w:sz w:val="24"/>
              </w:rPr>
              <w:t>optimización de la información y la toma de decisiones de una mejor ma</w:t>
            </w:r>
            <w:r>
              <w:rPr>
                <w:rFonts w:ascii="Arial" w:hAnsi="Arial" w:cs="Arial"/>
                <w:sz w:val="24"/>
              </w:rPr>
              <w:t>nera</w:t>
            </w:r>
          </w:p>
          <w:p w:rsidR="00000000" w:rsidRDefault="004432F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 Alexander Solís Delgado, presidente de la CNE, “esto viene a fortalecer la labor que se está realizando y permite la optimización de los recursos y la transparencia en el manejo de los donaciones y recursos en general”.</w:t>
            </w:r>
          </w:p>
          <w:p w:rsidR="00000000" w:rsidRDefault="004432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>
                  <wp:extent cx="4445000" cy="2496820"/>
                  <wp:effectExtent l="0" t="0" r="0" b="0"/>
                  <wp:docPr id="3" name="Imagen 5" descr="Imagen que contiene interior, tabla, pastel, comid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interior, tabla, pastel, comid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0" cy="249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432F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Algunas de las empresas </w:t>
            </w:r>
            <w:r>
              <w:rPr>
                <w:rFonts w:ascii="Arial" w:hAnsi="Arial" w:cs="Arial"/>
                <w:sz w:val="24"/>
              </w:rPr>
              <w:t>que han realizado sus donaciones son Don Pinos por medio de la entrega de 10 500 botellas de agua, Irex con la donación de 1 000 galones de desinfectante y 1 100 galones de cloro, Intel de Costa Rica otorgó 5 000 mascarillas para el personal médico, agua m</w:t>
            </w:r>
            <w:r>
              <w:rPr>
                <w:rFonts w:ascii="Arial" w:hAnsi="Arial" w:cs="Arial"/>
                <w:sz w:val="24"/>
              </w:rPr>
              <w:t>ineral aportó una tarima de botellas con 62 botellas de vidrio y 86 paquetes de botellas plásticas de agua natural, por su parte atunes Calvo donó 30 mil latas de atún.</w:t>
            </w:r>
          </w:p>
          <w:p w:rsidR="00000000" w:rsidRDefault="004432F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4134485" cy="970280"/>
                  <wp:effectExtent l="0" t="0" r="0" b="1270"/>
                  <wp:docPr id="4" name="Imagen 4" descr="Captura de pantalla de un celular con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ptura de pantalla de un celular con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8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32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4432FB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5946">
    <w:abstractNumId w:val="0"/>
  </w:num>
  <w:num w:numId="2" w16cid:durableId="13767309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B"/>
    <w:rsid w:val="004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2022-05-13T19:37:00Z</dcterms:created>
  <dcterms:modified xsi:type="dcterms:W3CDTF">2022-05-13T19:37:00Z</dcterms:modified>
</cp:coreProperties>
</file>