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937"/>
        <w:gridCol w:w="2972"/>
        <w:gridCol w:w="2939"/>
        <w:gridCol w:w="485"/>
        <w:gridCol w:w="220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B7A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B7A">
            <w:pPr>
              <w:pStyle w:val="Ttulo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CNE eleva el estado de Alerta ROJA para Corredores, Coto Brus, Hojancha, Nandayure y Nicoya</w:t>
            </w:r>
          </w:p>
          <w:p w:rsidR="00000000" w:rsidRDefault="00BD3B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2670" cy="2759075"/>
                  <wp:effectExtent l="0" t="0" r="0" b="3175"/>
                  <wp:docPr id="1" name="Imagen 3" descr="Imagen que contiene exterior, agua, árbol, rí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Imagen que contiene exterior, agua, árbol, rí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670" cy="275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D3B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BD3B7A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Se mantiene el estado de Alerta Naranja para </w:t>
            </w:r>
            <w:r>
              <w:rPr>
                <w:rFonts w:ascii="Arial" w:hAnsi="Arial" w:cs="Arial"/>
                <w:i/>
                <w:sz w:val="24"/>
                <w:szCs w:val="24"/>
              </w:rPr>
              <w:t>Upala, y la Vertiente del Pacífico (excepto Hojancha, Nandayure, Nicoya Corredores y Coto Brus). Además, se mantiene la Alerta Amarilla para la Zona Norte (excepto Upala) y el Valle Central.</w:t>
            </w:r>
          </w:p>
          <w:p w:rsidR="00000000" w:rsidRDefault="00BD3B7A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773 personas fueron movilizados a albergues temporales </w:t>
            </w:r>
          </w:p>
          <w:p w:rsidR="00000000" w:rsidRDefault="00BD3B7A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CNE hace </w:t>
            </w:r>
            <w:r>
              <w:rPr>
                <w:rFonts w:ascii="Arial" w:hAnsi="Arial" w:cs="Arial"/>
                <w:i/>
                <w:sz w:val="24"/>
                <w:szCs w:val="24"/>
              </w:rPr>
              <w:t>un llamado a la prevención ante la continuidad de las lluvias.</w:t>
            </w:r>
          </w:p>
          <w:p w:rsidR="00000000" w:rsidRDefault="00BD3B7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00000" w:rsidRDefault="00BD3B7A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San José, 04 de noviembre de 2020.</w:t>
            </w:r>
            <w:r>
              <w:rPr>
                <w:rFonts w:ascii="Arial" w:hAnsi="Arial" w:cs="Arial"/>
                <w:sz w:val="24"/>
                <w:szCs w:val="24"/>
              </w:rPr>
              <w:t xml:space="preserve"> Debido al aumento de eventos que se han generado producto de la influencia indirecta de la tormenta tropical ETA en varias zonas del país, la Comisión Nacion</w:t>
            </w:r>
            <w:r>
              <w:rPr>
                <w:rFonts w:ascii="Arial" w:hAnsi="Arial" w:cs="Arial"/>
                <w:sz w:val="24"/>
                <w:szCs w:val="24"/>
              </w:rPr>
              <w:t xml:space="preserve">al de Prevención de Riesgos y Atención de Emergencias (CNE) elevó el estado de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Alerta Roja</w:t>
            </w:r>
            <w:r>
              <w:rPr>
                <w:rFonts w:ascii="Arial" w:hAnsi="Arial" w:cs="Arial"/>
                <w:sz w:val="24"/>
                <w:szCs w:val="24"/>
              </w:rPr>
              <w:t xml:space="preserve"> para los cantones de Corredores y Coto Brus en Pacífico Sur, y Hojancha, Nandayure y Nicoya en el Pacífico Norte. </w:t>
            </w:r>
          </w:p>
          <w:p w:rsidR="00000000" w:rsidRDefault="00BD3B7A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mantiene el estado de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Alerta Naranja</w:t>
            </w:r>
            <w:r>
              <w:rPr>
                <w:rFonts w:ascii="Arial" w:hAnsi="Arial" w:cs="Arial"/>
                <w:sz w:val="24"/>
                <w:szCs w:val="24"/>
              </w:rPr>
              <w:t xml:space="preserve"> para Upala</w:t>
            </w:r>
            <w:r>
              <w:rPr>
                <w:rFonts w:ascii="Arial" w:hAnsi="Arial" w:cs="Arial"/>
                <w:sz w:val="24"/>
                <w:szCs w:val="24"/>
              </w:rPr>
              <w:t xml:space="preserve">, y la Vertiente del Pacífico (excepto Hojancha, Nandayure, Nicoya Corredores y Coto Brus). Además, se mantiene la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Alerta Amarilla</w:t>
            </w:r>
            <w:r>
              <w:rPr>
                <w:rFonts w:ascii="Arial" w:hAnsi="Arial" w:cs="Arial"/>
                <w:sz w:val="24"/>
                <w:szCs w:val="24"/>
              </w:rPr>
              <w:t xml:space="preserve"> para la Zona Norte (excepto Upala) y el Valle Central. La Región Caribe se mantiene en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Alerta Verde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000000" w:rsidRDefault="00BD3B7A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114415" cy="4779010"/>
                  <wp:effectExtent l="0" t="0" r="635" b="2540"/>
                  <wp:docPr id="2" name="Imagen 1" descr="Map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ap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4415" cy="477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D3B7A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Solamente este miérco</w:t>
            </w:r>
            <w:r>
              <w:rPr>
                <w:rFonts w:ascii="Arial" w:hAnsi="Arial" w:cs="Arial"/>
                <w:sz w:val="24"/>
                <w:szCs w:val="24"/>
              </w:rPr>
              <w:t>les, de 6:00 a.m. y hasta las 2:00 p.m., se reporta 416 eventos, principalmente por anegamientos en cantones como Liberia, Nicoya, La Cruz, Abangares, Nandayure, Parrita, Osa, Puntarenas y Corredores, entre otros.</w:t>
            </w:r>
          </w:p>
          <w:p w:rsidR="00000000" w:rsidRDefault="00BD3B7A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Esto ha generado la habilitación de 21 alb</w:t>
            </w:r>
            <w:r>
              <w:rPr>
                <w:rFonts w:ascii="Arial" w:hAnsi="Arial" w:cs="Arial"/>
                <w:sz w:val="24"/>
                <w:szCs w:val="24"/>
              </w:rPr>
              <w:t>ergues para atender a 773 personas que poseen algún tipo de afectación y se movilizaron a estos sitios para poner a salvo sus vidas.</w:t>
            </w:r>
          </w:p>
          <w:p w:rsidR="00000000" w:rsidRDefault="00BD3B7A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 los reportes de ríos crecidos se encuentran el Ceibo, Volcán, Térraba Estero Azul, San Juan Rio Claro, Caño Seco, Cor</w:t>
            </w:r>
            <w:r>
              <w:rPr>
                <w:rFonts w:ascii="Arial" w:hAnsi="Arial" w:cs="Arial"/>
                <w:sz w:val="24"/>
                <w:szCs w:val="24"/>
              </w:rPr>
              <w:t xml:space="preserve">redores Caracol y Abrojo. </w:t>
            </w:r>
          </w:p>
          <w:p w:rsidR="00000000" w:rsidRDefault="00BD3B7A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Infraestructura afectada</w:t>
            </w:r>
          </w:p>
          <w:p w:rsidR="00000000" w:rsidRDefault="00BD3B7A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CNE mantienen una coordinación constante con los Comités Municipales de Emergencias para restablecer las infraestructuras que han </w:t>
            </w:r>
            <w:r>
              <w:rPr>
                <w:rFonts w:ascii="Arial" w:hAnsi="Arial" w:cs="Arial"/>
                <w:sz w:val="24"/>
                <w:szCs w:val="24"/>
              </w:rPr>
              <w:t>sufrido daños por las lluvias. Entre estas afectaciones se encuentran 15 rutas nacionales y cantonales, tres puentes, la fractura en el dique del río Caño Seco en la fuente de Neilly el cual está siendo valorado para movilizar población, así como varios pu</w:t>
            </w:r>
            <w:r>
              <w:rPr>
                <w:rFonts w:ascii="Arial" w:hAnsi="Arial" w:cs="Arial"/>
                <w:sz w:val="24"/>
                <w:szCs w:val="24"/>
              </w:rPr>
              <w:t xml:space="preserve">ntos con electricidad interrumpida. </w:t>
            </w:r>
          </w:p>
          <w:p w:rsidR="00000000" w:rsidRDefault="00BD3B7A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Labores operativas</w:t>
            </w:r>
          </w:p>
          <w:p w:rsidR="00000000" w:rsidRDefault="00BD3B7A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Alexander Solís, presidente de la CNE, señaló que llevamos más de 48 horas de constantes lluvias y de acuerdo con la información del IMN, se esperan más precipitaciones a lo largo de la Vertiente del </w:t>
            </w:r>
            <w:r>
              <w:rPr>
                <w:rFonts w:ascii="Arial" w:hAnsi="Arial" w:cs="Arial"/>
                <w:sz w:val="24"/>
                <w:szCs w:val="24"/>
              </w:rPr>
              <w:t>Pacífico.  Por tal razón, se movilizó personal técnico-operativo a las zonas con mayor afectación por inundaciones y deslizamientos para responder a la emergencia y tener un monitoreo constante y coordinación con los Comités Municipales de Emergencias de l</w:t>
            </w:r>
            <w:r>
              <w:rPr>
                <w:rFonts w:ascii="Arial" w:hAnsi="Arial" w:cs="Arial"/>
                <w:sz w:val="24"/>
                <w:szCs w:val="24"/>
              </w:rPr>
              <w:t>as zonas declaradas en alertas.</w:t>
            </w:r>
          </w:p>
          <w:p w:rsidR="00000000" w:rsidRDefault="00BD3B7A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122670" cy="4587875"/>
                  <wp:effectExtent l="0" t="0" r="0" b="3175"/>
                  <wp:docPr id="3" name="Imagen 2" descr="Imagen que contiene interior, techo, persona, hombre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Imagen que contiene interior, techo, persona, hombre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670" cy="458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D3B7A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ha reforzado con suministros en las distintas bodegas regionales como medida preventiva y se realiza monitoreos extraordinarios cada 3 horas.  Para ello, se cuenta con un sistema de radio comunicación en casi el 98 % de</w:t>
            </w:r>
            <w:r>
              <w:rPr>
                <w:rFonts w:ascii="Arial" w:hAnsi="Arial" w:cs="Arial"/>
                <w:sz w:val="24"/>
                <w:szCs w:val="24"/>
              </w:rPr>
              <w:t xml:space="preserve">l territorio nacional. </w:t>
            </w:r>
          </w:p>
          <w:p w:rsidR="00000000" w:rsidRDefault="00BD3B7A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Perspectivas del estado del tiempo</w:t>
            </w:r>
          </w:p>
          <w:p w:rsidR="00000000" w:rsidRDefault="00BD3B7A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Según el informe del Instituto Meteorológico Nacional (IMN), se prevé una tendencia de lluvias muy fuertes para la noche de hoy y la madruga de mañana jueves.</w:t>
            </w:r>
          </w:p>
          <w:p w:rsidR="00000000" w:rsidRDefault="00BD3B7A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Esto generará acumulados superiores a </w:t>
            </w:r>
            <w:r>
              <w:rPr>
                <w:rFonts w:ascii="Arial" w:hAnsi="Arial" w:cs="Arial"/>
                <w:sz w:val="24"/>
                <w:szCs w:val="24"/>
              </w:rPr>
              <w:t xml:space="preserve">los 100mm en la mayoría de las zonas declaradas en la mayor parte del territorio nacional. </w:t>
            </w:r>
          </w:p>
          <w:p w:rsidR="00000000" w:rsidRDefault="00BD3B7A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Recomendaciones </w:t>
            </w:r>
          </w:p>
          <w:p w:rsidR="00000000" w:rsidRDefault="00BD3B7A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Aunque el huracán pasó a Tormenta Tropical, se debe mantener mucha precaución ya que los suelos están saturados y continuará el temporal, por lo ta</w:t>
            </w:r>
            <w:r>
              <w:rPr>
                <w:rFonts w:ascii="Arial" w:hAnsi="Arial" w:cs="Arial"/>
                <w:sz w:val="24"/>
                <w:szCs w:val="24"/>
              </w:rPr>
              <w:t>nto, se recomienda a la población en general mantener vigilancia en las zonas con mayor vulnerabilidad a deslizamientos e inundaciones y de ser necesario, dirigirse hacia los albergues temporales o casa de familiares o amigos.</w:t>
            </w:r>
          </w:p>
          <w:p w:rsidR="00000000" w:rsidRDefault="00BD3B7A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presentarse una situación </w:t>
            </w:r>
            <w:r>
              <w:rPr>
                <w:rFonts w:ascii="Arial" w:hAnsi="Arial" w:cs="Arial"/>
                <w:sz w:val="24"/>
                <w:szCs w:val="24"/>
              </w:rPr>
              <w:t>de emergencia reportarla al sistema 9-1-1.</w:t>
            </w:r>
          </w:p>
          <w:p w:rsidR="00000000" w:rsidRDefault="00BD3B7A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Manténgase informado de las condiciones del tiempo por medio de canales oficiales.</w:t>
            </w:r>
          </w:p>
          <w:p w:rsidR="00000000" w:rsidRDefault="00BD3B7A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5398770" cy="3037205"/>
                  <wp:effectExtent l="0" t="0" r="0" b="0"/>
                  <wp:docPr id="4" name="Imagen 4" descr="Tabl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Tabl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770" cy="303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D3B7A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BD3B7A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5398770" cy="3117215"/>
                  <wp:effectExtent l="0" t="0" r="0" b="6985"/>
                  <wp:docPr id="5" name="Imagen 5" descr="Interfaz de usuario gráfica, Texto, Aplicación, Correo electrónic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Interfaz de usuario gráfica, Texto, Aplicación, Correo electrónic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770" cy="311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B7A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B7A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B7A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B7A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B7A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B7A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B7A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:rsidR="00000000" w:rsidRDefault="00BD3B7A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27B9C"/>
    <w:multiLevelType w:val="multilevel"/>
    <w:tmpl w:val="A6B4C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BB50E1"/>
    <w:multiLevelType w:val="hybridMultilevel"/>
    <w:tmpl w:val="2F3A1D2A"/>
    <w:lvl w:ilvl="0" w:tplc="53C8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218935">
    <w:abstractNumId w:val="0"/>
  </w:num>
  <w:num w:numId="2" w16cid:durableId="437875795">
    <w:abstractNumId w:val="1"/>
  </w:num>
  <w:num w:numId="3" w16cid:durableId="168736758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7A"/>
    <w:rsid w:val="00BD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  <w:lang w:val="es-CR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2022-05-13T19:37:00Z</dcterms:created>
  <dcterms:modified xsi:type="dcterms:W3CDTF">2022-05-13T19:37:00Z</dcterms:modified>
</cp:coreProperties>
</file>