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"/>
        <w:gridCol w:w="824"/>
        <w:gridCol w:w="3251"/>
        <w:gridCol w:w="2970"/>
        <w:gridCol w:w="284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Emergencia por COVID-19</w:t>
            </w:r>
          </w:p>
          <w:p w:rsidR="00000000" w:rsidRDefault="00EC53D8">
            <w:pPr>
              <w:spacing w:after="0"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0" w:rsidRDefault="00EC53D8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brinda apoyo al MEP para aumentar las medidas sanitarias en centros educativos</w:t>
            </w:r>
          </w:p>
          <w:p w:rsidR="00000000" w:rsidRDefault="00EC53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CNE moviliza tanques de almacenamiento de agua para centros educativos  </w:t>
            </w:r>
          </w:p>
          <w:p w:rsidR="00000000" w:rsidRDefault="00EC53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Empresa de </w:t>
            </w:r>
            <w:r>
              <w:rPr>
                <w:rFonts w:ascii="Arial" w:hAnsi="Arial" w:cs="Arial"/>
                <w:b/>
                <w:lang w:val="es-ES"/>
              </w:rPr>
              <w:t xml:space="preserve">limpieza contratada aumentará medidas higiénicas en escuelas  </w:t>
            </w:r>
          </w:p>
          <w:p w:rsidR="00000000" w:rsidRDefault="00EC53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Inicia segunda fase de atención de Alerta Amarilla por el COVID-19</w:t>
            </w:r>
          </w:p>
          <w:p w:rsidR="00000000" w:rsidRDefault="00EC53D8">
            <w:pPr>
              <w:pStyle w:val="Prrafodelista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000000" w:rsidRDefault="00EC53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16120" cy="4516120"/>
                  <wp:effectExtent l="0" t="0" r="0" b="0"/>
                  <wp:docPr id="1" name="Imagen 1" descr="Imagen que contiene suelo, exterior, edificio, sent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suelo, exterior, edificio, senta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451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San José, 13 de marzo del 2020</w:t>
            </w:r>
            <w:r>
              <w:rPr>
                <w:rFonts w:ascii="Arial" w:hAnsi="Arial" w:cs="Arial"/>
                <w:sz w:val="24"/>
              </w:rPr>
              <w:t>.   La Comisión Nacional de Prevención de Riesgos y Atención de Emergencias (CNE) contrató un</w:t>
            </w:r>
            <w:r>
              <w:rPr>
                <w:rFonts w:ascii="Arial" w:hAnsi="Arial" w:cs="Arial"/>
                <w:sz w:val="24"/>
              </w:rPr>
              <w:t>a empresa que se encargará de la limpieza profunda en centros educativos y edificaciones públicas, a partir de orden sanitaria.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empresa seleccionada para labores de limpieza y desinfección -en el marco de la emergencia provocada por el COVID-19- fue Ind</w:t>
            </w:r>
            <w:r>
              <w:rPr>
                <w:rFonts w:ascii="Arial" w:hAnsi="Arial" w:cs="Arial"/>
                <w:sz w:val="24"/>
              </w:rPr>
              <w:t>ustria Hotelera Santa María.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esta segunda fase de la Alerta Amarilla, cuyo objetivo es mitigar los factores de riesgo y disminuir los casos de contagio por el COVID-19, la CNE también está adquiriendo insumos como </w:t>
            </w:r>
            <w:r>
              <w:rPr>
                <w:rFonts w:ascii="Arial" w:hAnsi="Arial" w:cs="Arial"/>
                <w:sz w:val="24"/>
              </w:rPr>
              <w:lastRenderedPageBreak/>
              <w:t>botellas de alcohol antiséptica para ma</w:t>
            </w:r>
            <w:r>
              <w:rPr>
                <w:rFonts w:ascii="Arial" w:hAnsi="Arial" w:cs="Arial"/>
                <w:sz w:val="24"/>
              </w:rPr>
              <w:t>nos, galones de solución alcohólica, rollos de papel para secado de manos y botellas de jabón para distribuir entre las instituciones públicas.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otra parte, se ordenó la movilización de tanques de almacenamiento de agua hacia las bodegas regionales para</w:t>
            </w:r>
            <w:r>
              <w:rPr>
                <w:rFonts w:ascii="Arial" w:hAnsi="Arial" w:cs="Arial"/>
                <w:sz w:val="24"/>
              </w:rPr>
              <w:t xml:space="preserve"> ser instalados en 25 centros educativos que presenten problemas de capacidad de almacenamiento del líquido, a partir del diagnóstico del Ministerio de Educación Pública (MEP). 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Así lo explicó el presidente de la CNE, Alexander Solís Delgado, quien enfatiz</w:t>
            </w:r>
            <w:r>
              <w:rPr>
                <w:rFonts w:ascii="Arial" w:hAnsi="Arial" w:cs="Arial"/>
                <w:sz w:val="24"/>
              </w:rPr>
              <w:t>ó que la Alerta Amarilla ha permitido un reforzamiento en las acciones y el aprovechamiento de los recursos.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esfuerzo interinstitucional para reducir el contagio por el COVID-19 lleva a las instituciones representantes del Centro de Operaciones de Emerg</w:t>
            </w:r>
            <w:r>
              <w:rPr>
                <w:rFonts w:ascii="Arial" w:hAnsi="Arial" w:cs="Arial"/>
                <w:sz w:val="24"/>
              </w:rPr>
              <w:t>encias (COE) a realizar sesiones virtuales diariamente para articular acciones preventivas en la atención y reducción de la emergencia COVID-19.</w:t>
            </w:r>
          </w:p>
          <w:p w:rsidR="00000000" w:rsidRDefault="00EC53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mantiene activa a los Comités Municipales de E</w:t>
            </w:r>
            <w:r>
              <w:rPr>
                <w:rFonts w:ascii="Arial" w:hAnsi="Arial" w:cs="Arial"/>
                <w:sz w:val="24"/>
              </w:rPr>
              <w:t>mergencias (CME) y los Comités Regionales de Emergencias (CRE) del país para dar seguimiento a las medidas de mitigación y prevención con el fin de disminuir los casos de contagio.</w:t>
            </w:r>
          </w:p>
          <w:p w:rsidR="00000000" w:rsidRDefault="00EC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Asimismo, la institución hace un llamado a la población para que extreme la</w:t>
            </w:r>
            <w:r>
              <w:rPr>
                <w:rFonts w:ascii="Arial" w:hAnsi="Arial" w:cs="Arial"/>
                <w:sz w:val="24"/>
              </w:rPr>
              <w:t>s medidas sanitarias e higiénicas, realice adecuadamente los protocolos de saludos y se informe únicamente por medios oficiales.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53D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C53D8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8210">
    <w:abstractNumId w:val="0"/>
  </w:num>
  <w:num w:numId="2" w16cid:durableId="4030636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8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4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2022-05-13T19:35:00Z</dcterms:created>
  <dcterms:modified xsi:type="dcterms:W3CDTF">2022-05-13T19:35:00Z</dcterms:modified>
</cp:coreProperties>
</file>