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931"/>
        <w:gridCol w:w="2981"/>
        <w:gridCol w:w="2947"/>
        <w:gridCol w:w="474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35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35B">
            <w:pPr>
              <w:pStyle w:val="Ttulo1"/>
              <w:jc w:val="center"/>
            </w:pPr>
            <w:r>
              <w:t>Autoridades instruyen cerco epidemiológico en toda la GAM</w:t>
            </w:r>
          </w:p>
          <w:p w:rsidR="00000000" w:rsidRDefault="00AB23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37530" cy="4349115"/>
                  <wp:effectExtent l="0" t="0" r="1270" b="0"/>
                  <wp:docPr id="1" name="Imagen 2" descr="Imagen que contiene texto, 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 que contiene texto, 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530" cy="434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B235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iCs/>
                <w:color w:val="000000" w:themeColor="text1"/>
                <w:lang w:val="es-ES"/>
              </w:rPr>
            </w:pPr>
            <w:r>
              <w:rPr>
                <w:b/>
                <w:i/>
                <w:iCs/>
                <w:color w:val="000000" w:themeColor="text1"/>
                <w:lang w:val="es-ES"/>
              </w:rPr>
              <w:t xml:space="preserve">Se aplica restricción vehicular total y cierre de establecimientos de manera total por cinco días, </w:t>
            </w:r>
            <w:r>
              <w:rPr>
                <w:b/>
                <w:i/>
                <w:iCs/>
                <w:color w:val="000000" w:themeColor="text1"/>
                <w:lang w:val="es-ES"/>
              </w:rPr>
              <w:t>del lunes 13 al viernes 17 de julio, a todos los cantones en alerta naranja, tanto dentro como fuera de la GAM.</w:t>
            </w:r>
          </w:p>
          <w:p w:rsidR="00000000" w:rsidRDefault="00AB235B">
            <w:pPr>
              <w:pStyle w:val="Prrafodelista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iCs/>
                <w:color w:val="000000" w:themeColor="text1"/>
                <w:lang w:val="es-ES"/>
              </w:rPr>
            </w:pPr>
          </w:p>
          <w:p w:rsidR="00000000" w:rsidRDefault="00AB235B">
            <w:pPr>
              <w:pStyle w:val="Prrafodelista"/>
              <w:numPr>
                <w:ilvl w:val="0"/>
                <w:numId w:val="2"/>
              </w:numPr>
              <w:rPr>
                <w:b/>
                <w:i/>
                <w:iCs/>
                <w:color w:val="000000" w:themeColor="text1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Cs w:val="20"/>
              </w:rPr>
              <w:t>Los fines de semana (sábado 11 y domingo 12, sábado 18 y domingo 19 de julio) regirá en todo el país una restricción vehicular de 5:00 am a 5:0</w:t>
            </w:r>
            <w:r>
              <w:rPr>
                <w:b/>
                <w:i/>
                <w:iCs/>
                <w:color w:val="000000" w:themeColor="text1"/>
                <w:szCs w:val="20"/>
              </w:rPr>
              <w:t>0 pm para acceso a los establecimientos autorizados por el Ministerio de Salud según el tipo de alerta amarilla o naranja.</w:t>
            </w:r>
          </w:p>
          <w:p w:rsidR="00000000" w:rsidRDefault="00AB235B">
            <w:pPr>
              <w:pStyle w:val="Prrafodelista"/>
              <w:rPr>
                <w:b/>
                <w:i/>
                <w:iCs/>
                <w:color w:val="000000" w:themeColor="text1"/>
                <w:szCs w:val="20"/>
              </w:rPr>
            </w:pPr>
          </w:p>
          <w:p w:rsidR="00000000" w:rsidRDefault="00AB235B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i/>
                <w:iCs/>
                <w:color w:val="434343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Cs w:val="20"/>
              </w:rPr>
              <w:t>El Ministro de Salud recalcó que todas y todos tenemos la misión de realizar medidas de prevención y evitar la movilización con el o</w:t>
            </w:r>
            <w:r>
              <w:rPr>
                <w:b/>
                <w:i/>
                <w:iCs/>
                <w:color w:val="000000" w:themeColor="text1"/>
                <w:szCs w:val="20"/>
              </w:rPr>
              <w:t>bjetivo de recobrar el rastro de los contagios.</w:t>
            </w:r>
          </w:p>
          <w:p w:rsidR="00000000" w:rsidRDefault="00AB235B">
            <w:pPr>
              <w:pStyle w:val="Prrafodelista"/>
              <w:rPr>
                <w:b/>
                <w:i/>
                <w:iCs/>
                <w:color w:val="434343"/>
                <w:szCs w:val="20"/>
              </w:rPr>
            </w:pPr>
          </w:p>
          <w:p w:rsidR="00000000" w:rsidRDefault="00AB235B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i/>
                <w:iCs/>
                <w:color w:val="434343"/>
                <w:szCs w:val="20"/>
              </w:rPr>
            </w:pPr>
          </w:p>
          <w:p w:rsidR="00000000" w:rsidRDefault="00AB23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 situación epidemiológica que enfrenta nuestro país amerita que las autoridades establezcan alerta naranja y cerco epidemiológico en todo el Gran Área Metropolitana (GAM) como medida para contener los cas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os y recuperar el rastro del COVID-19. </w:t>
            </w:r>
          </w:p>
          <w:p w:rsidR="00000000" w:rsidRDefault="00AB23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lastRenderedPageBreak/>
              <w:t xml:space="preserve">Así lo anunciaron en conferencia de prensa, el presidente de la República, Carlos </w:t>
            </w:r>
            <w:r>
              <w:rPr>
                <w:rFonts w:ascii="Arial" w:hAnsi="Arial" w:cs="Arial"/>
                <w:color w:val="000000" w:themeColor="text1"/>
                <w:sz w:val="24"/>
              </w:rPr>
              <w:t>Alvarado; el ministro de Salud, Daniel Salas; la ministra de Planificación Nacional y coordinadora del equipo económico, Pilar Garrido; y el presidente de la Comisión Nacional de Emergencias (CNE), Alexander Solís.</w:t>
            </w:r>
          </w:p>
          <w:p w:rsidR="00000000" w:rsidRDefault="00AB235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  <w:t>Lista completa de cantones y distritos en</w:t>
            </w:r>
            <w:r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  <w:t xml:space="preserve"> alerta naranja</w:t>
            </w:r>
            <w:r>
              <w:rPr>
                <w:rFonts w:ascii="Arial" w:hAnsi="Arial" w:cs="Arial"/>
                <w:color w:val="000000" w:themeColor="text1"/>
                <w:sz w:val="24"/>
              </w:rPr>
              <w:t>:</w:t>
            </w:r>
          </w:p>
          <w:p w:rsidR="00000000" w:rsidRDefault="00AB235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4540250" cy="3363595"/>
                  <wp:effectExtent l="0" t="0" r="0" b="8255"/>
                  <wp:docPr id="2" name="Imagen 1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3" t="2367" r="19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0" cy="336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Restricciones de fines de semana: (Sábado 11, domingo 12, sábado 18 y domingo 19 de julio)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Circulación vehicular: 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5:00am a 5:00pm para establecimientos habilitados. Salvo la lista de excepciones, no circulan: 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Sábados: 0, 2, </w:t>
            </w:r>
            <w:r>
              <w:rPr>
                <w:rFonts w:ascii="Arial" w:hAnsi="Arial" w:cs="Arial"/>
                <w:sz w:val="24"/>
                <w:szCs w:val="24"/>
              </w:rPr>
              <w:t xml:space="preserve">4, 6 y 8 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Domingo: 1, 3, 5, 7 y 9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Establecimientos habilitados los fines de semana: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Cantones en alerta naranja: Supermercados, farmacias, centros médicos, pulperías, abastecedores, panaderías, carnicerías, verdulerías, servicio a domicilio, servi</w:t>
            </w:r>
            <w:r>
              <w:rPr>
                <w:rFonts w:ascii="Arial" w:hAnsi="Arial" w:cs="Arial"/>
                <w:sz w:val="24"/>
                <w:szCs w:val="24"/>
              </w:rPr>
              <w:t>cio a domicilio de alimentos, suministros agropecuarios, veterinarios y de higiene, bancos, funerarias, ferias del agricultor con franja diferenciada para adultos mayores de las 5:00 horas a las 8:30 horas.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Cantones en alerta amarilla: Salones de belleza</w:t>
            </w:r>
            <w:r>
              <w:rPr>
                <w:rFonts w:ascii="Arial" w:hAnsi="Arial" w:cs="Arial"/>
                <w:sz w:val="24"/>
                <w:szCs w:val="24"/>
              </w:rPr>
              <w:t xml:space="preserve">, lugares de culto, playas de 5:00 am a 9:30 am, hoteles, restaurantes, tiendas, museos, cines y teatros al 50% de aforo, ferias del agricultor con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franja diferenciada para adultos mayores de las 5:00 horas a las 8:30 horas, entre otros. 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Restricciones en</w:t>
            </w:r>
            <w:r>
              <w:rPr>
                <w:rFonts w:ascii="Arial" w:hAnsi="Arial" w:cs="Arial"/>
                <w:sz w:val="24"/>
                <w:szCs w:val="24"/>
              </w:rPr>
              <w:t>tre semana: (de lunes 13 al viernes 17 de julio)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los cantones en alerta naranja: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Restricción vehicular total de 24 horas, para acceso a supermercados, farmacias y centros de salud. Únicamente podrán circular las siguientes placas: 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Lunes: 1 y 2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  <w:r>
              <w:rPr>
                <w:rFonts w:ascii="Arial" w:hAnsi="Arial" w:cs="Arial"/>
                <w:sz w:val="24"/>
                <w:szCs w:val="24"/>
              </w:rPr>
              <w:t>: 3 y 4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Miércoles: 5 y 6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Jueves: 7 y 8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Viernes: 9 y 0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El transporte público podrá funcionar hasta un 20%. Se habilita el servicio de taxi y servicio especial de trabajadores. 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Los únicos establecimientos habilitados para funcionar: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  <w:t>Actividades produ</w:t>
            </w:r>
            <w:r>
              <w:rPr>
                <w:rFonts w:ascii="Arial" w:hAnsi="Arial" w:cs="Arial"/>
                <w:sz w:val="24"/>
                <w:szCs w:val="24"/>
              </w:rPr>
              <w:t>ctivas esenciales (Agricultura, pesca e industria alimentaria, dispositivos médicos y sus partes, producción de sustancias químicas y productos farmacéuticos, los servicios de tecnología de la información y de las comunicaciones y las operaciones de centro</w:t>
            </w:r>
            <w:r>
              <w:rPr>
                <w:rFonts w:ascii="Arial" w:hAnsi="Arial" w:cs="Arial"/>
                <w:sz w:val="24"/>
                <w:szCs w:val="24"/>
              </w:rPr>
              <w:t>s de contacto que apoyan las actividades esenciales dentro y fuera del país). Lo anterior incluye las cadenas de suministros de materiales, servicios, productos y equipos indispensables para dichas actividades.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>Supermercados, abastecedores, pulperías y</w:t>
            </w:r>
            <w:r>
              <w:rPr>
                <w:rFonts w:ascii="Arial" w:hAnsi="Arial" w:cs="Arial"/>
                <w:sz w:val="24"/>
                <w:szCs w:val="24"/>
              </w:rPr>
              <w:t xml:space="preserve"> minisúper, solo lo correspondiente a la sección de venta de alimentos, bebidas, abarrotes, suministros de limpieza e higiene, y necesidades básicas.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  <w:t>Panaderías, carnicerías y verdulerías.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  <w:t>Farmacias y centros médicos.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Servicio </w:t>
            </w:r>
            <w:r>
              <w:rPr>
                <w:rFonts w:ascii="Arial" w:hAnsi="Arial" w:cs="Arial"/>
                <w:sz w:val="24"/>
                <w:szCs w:val="24"/>
              </w:rPr>
              <w:t>a domicilio (exclusivo para alimentación, farmacia, veterinaria, ferretería y cerrajería).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ab/>
              <w:t>Suministros agropecuarios, veterinarios y de higiene.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ab/>
              <w:t>Funerarias.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ab/>
              <w:t>Centros de la red de cuido y desarrollo infantil y Centros de atención de personas en con</w:t>
            </w:r>
            <w:r>
              <w:rPr>
                <w:rFonts w:ascii="Arial" w:hAnsi="Arial" w:cs="Arial"/>
                <w:sz w:val="24"/>
                <w:szCs w:val="24"/>
              </w:rPr>
              <w:t xml:space="preserve">dición de vulnerabilidad. 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Hoteles que brinden servicios de alojamiento a funcionarios de la Administración Pública o a prestadores de servicios públicos (banca, transporte de valores, comunicaciones, electricidad) o se trate de personas que están </w:t>
            </w:r>
            <w:r>
              <w:rPr>
                <w:rFonts w:ascii="Arial" w:hAnsi="Arial" w:cs="Arial"/>
                <w:sz w:val="24"/>
                <w:szCs w:val="24"/>
              </w:rPr>
              <w:t xml:space="preserve">laborando en el servicio de distribución de mercancías o artículos alimentarios y de primera necesidad, medicamentos, insumos agrícolas o veterinarios. 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ab/>
              <w:t>Ferias del agricultor, con franja diferenciada para adultos mayores de 5:00 am a 8:30 am.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La </w:t>
            </w:r>
            <w:r>
              <w:rPr>
                <w:rFonts w:ascii="Arial" w:hAnsi="Arial" w:cs="Arial"/>
                <w:sz w:val="24"/>
                <w:szCs w:val="24"/>
              </w:rPr>
              <w:t>lista de excepciones a la restricción vehicular se reduce a las actividades productivas esenciales, establecimientos habilitados por el Ministerio de Salud y servicios básicos. Se adjunta lista completa.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Las instituciones públicas deberán maximizar el te</w:t>
            </w:r>
            <w:r>
              <w:rPr>
                <w:rFonts w:ascii="Arial" w:hAnsi="Arial" w:cs="Arial"/>
                <w:sz w:val="24"/>
                <w:szCs w:val="24"/>
              </w:rPr>
              <w:t>letrabajo y mantener de manera presencial exclusivamente aquellos servicios operativos esenciales, así como aquellos requeridos para la atención de la emergencia.  Al resto de servidores públicos deberán aplicarse vacaciones acumuladas o adelanto de vacaci</w:t>
            </w:r>
            <w:r>
              <w:rPr>
                <w:rFonts w:ascii="Arial" w:hAnsi="Arial" w:cs="Arial"/>
                <w:sz w:val="24"/>
                <w:szCs w:val="24"/>
              </w:rPr>
              <w:t>ones.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“El objetivo de las medidas de cierre es recobrar el rastro de los contagios, eso no se va a lograr de forma inmediata, pero lo que buscamos es volver a tener ese rastreo vital para el manejo sanitario. En este objetivo todas y todos tenemos una misi</w:t>
            </w:r>
            <w:r>
              <w:rPr>
                <w:rFonts w:ascii="Arial" w:hAnsi="Arial" w:cs="Arial"/>
                <w:sz w:val="24"/>
                <w:szCs w:val="24"/>
              </w:rPr>
              <w:t>ón: medidas de prevención y evitar movilización” afirmó Daniel Salas, Ministro de Salud.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señor Alexander Solís Delgado, presidente de la CNE, indicó en conferencia de prensa que "para el éxito de estas medidas es necesario unir esfuerzos, para que, en c</w:t>
            </w:r>
            <w:r>
              <w:rPr>
                <w:rFonts w:ascii="Arial" w:hAnsi="Arial" w:cs="Arial"/>
                <w:sz w:val="24"/>
                <w:szCs w:val="24"/>
              </w:rPr>
              <w:t>onjunto, la comunidad, los gobiernos locales, la empresa privada y las instituciones reforcemos los planes para reducir el riesgo y el cumplimento de las medidas.”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su parte, la ministra Pilar Garrido Gonzalo destacó que "los indicadores epidemiológicos</w:t>
            </w:r>
            <w:r>
              <w:rPr>
                <w:rFonts w:ascii="Arial" w:hAnsi="Arial" w:cs="Arial"/>
                <w:sz w:val="24"/>
                <w:szCs w:val="24"/>
              </w:rPr>
              <w:t xml:space="preserve"> muestran que debemos efectuar una medida de cierre contundente, para proteger la vida, la salud y el tejido productivo. Aplicaremos el martillo ahora, para mitigar el impacto económico neto de la pandemia".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el resto de país (cantones en alerta amarilla</w:t>
            </w:r>
            <w:r>
              <w:rPr>
                <w:rFonts w:ascii="Arial" w:hAnsi="Arial" w:cs="Arial"/>
                <w:sz w:val="24"/>
                <w:szCs w:val="24"/>
              </w:rPr>
              <w:t xml:space="preserve">): 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La circulación vehicular será de 5:00 am a 7:00 pm, con distribución de placas ordinaria y lista de excepciones completa (todas las actividades productivas y centros de trabajo).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Los establecimientos con permiso sanitario de funcionamiento podrán a</w:t>
            </w:r>
            <w:r>
              <w:rPr>
                <w:rFonts w:ascii="Arial" w:hAnsi="Arial" w:cs="Arial"/>
                <w:sz w:val="24"/>
                <w:szCs w:val="24"/>
              </w:rPr>
              <w:t>brir de manera regular de 5:00 am a 7:00 pm, según las fases de reapertura vigentes. Se mantiene habilitado el funcionamiento de lugares de culto de máximo 75 personas, playas de 5:00 am a 9:30 am, hoteles, restaurantes, tiendas, museos, cines y  teatros a</w:t>
            </w:r>
            <w:r>
              <w:rPr>
                <w:rFonts w:ascii="Arial" w:hAnsi="Arial" w:cs="Arial"/>
                <w:sz w:val="24"/>
                <w:szCs w:val="24"/>
              </w:rPr>
              <w:t xml:space="preserve">l 50%, ferias del agricultor con franja diferenciada para adultos mayores de las 5:00 horas a las 8:30 horas, entre otros. 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El transporte público se mantiene de manera regular, taxis y transporte especial de trabajadores y turismo.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Restricción vehicular </w:t>
            </w:r>
            <w:r>
              <w:rPr>
                <w:rFonts w:ascii="Arial" w:hAnsi="Arial" w:cs="Arial"/>
                <w:sz w:val="24"/>
                <w:szCs w:val="24"/>
              </w:rPr>
              <w:t>diferenciada zonas fronterizas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Se mantiene la restricción vehicular diferenciada, en razón de zona fronteriza, de lunes a domingo de 5:00 pm a 5:00 am en: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  <w:t>Cantón de La Cruz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Cantón de Upala 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Cantón de Guatuso 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Cantón de Los Chiles 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ab/>
              <w:t>Cantón d</w:t>
            </w:r>
            <w:r>
              <w:rPr>
                <w:rFonts w:ascii="Arial" w:hAnsi="Arial" w:cs="Arial"/>
                <w:sz w:val="24"/>
                <w:szCs w:val="24"/>
              </w:rPr>
              <w:t>e San Carlos: Aguas Zarcas, Cutris, Pital, Pocosol y Venecia. Además, el Sector Sureste del Distrito de la Fortuna de San Carlos (Tres Esquinas, Los Ángeles, Sonafluca, La Perla, San Isidro, El Tanque, San Jorge, Santa Cecilia); y La Vega y Bonanza del dis</w:t>
            </w:r>
            <w:r>
              <w:rPr>
                <w:rFonts w:ascii="Arial" w:hAnsi="Arial" w:cs="Arial"/>
                <w:sz w:val="24"/>
                <w:szCs w:val="24"/>
              </w:rPr>
              <w:t>trito de Florencia.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ab/>
              <w:t>Distritos de Llanuras del Gaspar y Curuña del cantón de Sarapiquí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ab/>
              <w:t>Distritos de Pacuarito y Reventazón del cantón de Siquirres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ab/>
              <w:t>Los distritos de La Rita, Roxana, Cariari y Colorado del Cantón de Pococí.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Distrito de Duacarí de </w:t>
            </w:r>
            <w:r>
              <w:rPr>
                <w:rFonts w:ascii="Arial" w:hAnsi="Arial" w:cs="Arial"/>
                <w:sz w:val="24"/>
                <w:szCs w:val="24"/>
              </w:rPr>
              <w:t>cantón de Guácimo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ab/>
              <w:t>Cantón de Corredores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ab/>
              <w:t>Distritos de Sabalito y Agua Buena del Cantón de Coto Brus.</w:t>
            </w:r>
          </w:p>
          <w:p w:rsidR="00000000" w:rsidRDefault="00AB235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El cantón de Río Cuarto ya no estará sujeto a la restricción vehicular diferenciada.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35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35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35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35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35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35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35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AB235B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E5AA5"/>
    <w:multiLevelType w:val="hybridMultilevel"/>
    <w:tmpl w:val="C5A00A94"/>
    <w:lvl w:ilvl="0" w:tplc="4024F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259774">
    <w:abstractNumId w:val="0"/>
  </w:num>
  <w:num w:numId="2" w16cid:durableId="2949150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5B"/>
    <w:rsid w:val="00AB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spacing w:after="0" w:line="276" w:lineRule="auto"/>
      <w:ind w:left="720"/>
      <w:contextualSpacing/>
    </w:pPr>
    <w:rPr>
      <w:rFonts w:ascii="Arial" w:eastAsia="Arial" w:hAnsi="Arial" w:cs="Arial"/>
      <w:lang w:eastAsia="es-ES_tradnl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2022-05-13T19:33:00Z</dcterms:created>
  <dcterms:modified xsi:type="dcterms:W3CDTF">2022-05-13T19:33:00Z</dcterms:modified>
</cp:coreProperties>
</file>