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0" w:type="auto"/>
        <w:tblInd w:w="720" w:type="dxa"/>
        <w:tblLook w:val="04A0" w:firstRow="1" w:lastRow="0" w:firstColumn="1" w:lastColumn="0" w:noHBand="0" w:noVBand="1"/>
      </w:tblPr>
      <w:tblGrid>
        <w:gridCol w:w="270"/>
        <w:gridCol w:w="1040"/>
        <w:gridCol w:w="3452"/>
        <w:gridCol w:w="3411"/>
        <w:gridCol w:w="503"/>
        <w:gridCol w:w="269"/>
      </w:tblGrid>
      <w:tr w:rsidR="00000000" w14:paraId="185AEFB2" w14:textId="77777777">
        <w:tc>
          <w:tcPr>
            <w:tcW w:w="270" w:type="dxa"/>
            <w:tcBorders>
              <w:top w:val="single" w:sz="4" w:space="0" w:color="auto"/>
              <w:left w:val="single" w:sz="4" w:space="0" w:color="auto"/>
              <w:bottom w:val="single" w:sz="4" w:space="0" w:color="auto"/>
              <w:right w:val="single" w:sz="4" w:space="0" w:color="auto"/>
            </w:tcBorders>
          </w:tcPr>
          <w:p w14:paraId="7555E24D" w14:textId="77777777" w:rsidR="00000000" w:rsidRDefault="008E324A">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14:paraId="7AD78A65" w14:textId="77777777" w:rsidR="00000000" w:rsidRDefault="008E324A">
            <w:pPr>
              <w:pStyle w:val="Ttulo1"/>
              <w:jc w:val="center"/>
              <w:rPr>
                <w:b/>
                <w:sz w:val="36"/>
              </w:rPr>
            </w:pPr>
            <w:r>
              <w:rPr>
                <w:b/>
                <w:sz w:val="36"/>
              </w:rPr>
              <w:t>Parque Nacional Poás actualiza sus mapas de peligros volcánicos</w:t>
            </w:r>
          </w:p>
          <w:p w14:paraId="39E55095" w14:textId="77777777" w:rsidR="00000000" w:rsidRDefault="008E324A">
            <w:pPr>
              <w:spacing w:after="0" w:line="240" w:lineRule="auto"/>
              <w:jc w:val="center"/>
              <w:rPr>
                <w:rFonts w:ascii="Arial" w:hAnsi="Arial" w:cs="Arial"/>
                <w:b/>
                <w:sz w:val="40"/>
                <w:szCs w:val="24"/>
              </w:rPr>
            </w:pPr>
            <w:r>
              <w:rPr>
                <w:rFonts w:ascii="Arial" w:hAnsi="Arial" w:cs="Arial"/>
                <w:b/>
                <w:noProof/>
                <w:sz w:val="40"/>
                <w:szCs w:val="24"/>
                <w:lang w:eastAsia="es-ES"/>
              </w:rPr>
              <w:drawing>
                <wp:inline distT="0" distB="0" distL="0" distR="0" wp14:anchorId="5992276D" wp14:editId="56FF781B">
                  <wp:extent cx="5200015" cy="3466465"/>
                  <wp:effectExtent l="0" t="0" r="635" b="635"/>
                  <wp:docPr id="1" name="Imagen 5" descr="41R_ROl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41R_ROlQ.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015" cy="3466465"/>
                          </a:xfrm>
                          <a:prstGeom prst="rect">
                            <a:avLst/>
                          </a:prstGeom>
                          <a:noFill/>
                          <a:ln>
                            <a:noFill/>
                          </a:ln>
                        </pic:spPr>
                      </pic:pic>
                    </a:graphicData>
                  </a:graphic>
                </wp:inline>
              </w:drawing>
            </w:r>
          </w:p>
          <w:p w14:paraId="2D5142C4" w14:textId="77777777" w:rsidR="00000000" w:rsidRDefault="008E324A">
            <w:pPr>
              <w:spacing w:after="0" w:line="240" w:lineRule="auto"/>
              <w:jc w:val="center"/>
              <w:rPr>
                <w:rFonts w:ascii="Arial" w:hAnsi="Arial" w:cs="Arial"/>
                <w:sz w:val="28"/>
                <w:szCs w:val="24"/>
              </w:rPr>
            </w:pPr>
          </w:p>
          <w:p w14:paraId="217B1C7E" w14:textId="77777777" w:rsidR="00000000" w:rsidRDefault="008E324A">
            <w:pPr>
              <w:numPr>
                <w:ilvl w:val="0"/>
                <w:numId w:val="2"/>
              </w:numPr>
              <w:spacing w:after="0" w:line="240" w:lineRule="auto"/>
              <w:contextualSpacing/>
              <w:jc w:val="both"/>
              <w:rPr>
                <w:rFonts w:ascii="Arial" w:hAnsi="Arial" w:cs="Arial"/>
                <w:i/>
                <w:sz w:val="24"/>
                <w:szCs w:val="24"/>
              </w:rPr>
            </w:pPr>
            <w:r>
              <w:rPr>
                <w:rFonts w:ascii="Arial" w:hAnsi="Arial" w:cs="Arial"/>
                <w:i/>
                <w:sz w:val="24"/>
                <w:szCs w:val="24"/>
              </w:rPr>
              <w:t>Debido a las constantes erupciones que se manifestaron el año pasado, la CNE actualiza los mapas de peligros volcánicos</w:t>
            </w:r>
          </w:p>
          <w:p w14:paraId="0B00C599" w14:textId="77777777" w:rsidR="00000000" w:rsidRDefault="008E324A">
            <w:pPr>
              <w:numPr>
                <w:ilvl w:val="0"/>
                <w:numId w:val="2"/>
              </w:numPr>
              <w:spacing w:after="0" w:line="240" w:lineRule="auto"/>
              <w:contextualSpacing/>
              <w:jc w:val="both"/>
              <w:rPr>
                <w:rFonts w:ascii="Arial" w:hAnsi="Arial" w:cs="Arial"/>
                <w:i/>
                <w:sz w:val="24"/>
                <w:szCs w:val="24"/>
              </w:rPr>
            </w:pPr>
            <w:r>
              <w:rPr>
                <w:rFonts w:ascii="Arial" w:hAnsi="Arial" w:cs="Arial"/>
                <w:i/>
                <w:sz w:val="24"/>
                <w:szCs w:val="24"/>
              </w:rPr>
              <w:t xml:space="preserve">RSN (UCR-ICE), OVSICORI y  CNE </w:t>
            </w:r>
            <w:r>
              <w:rPr>
                <w:rFonts w:ascii="Arial" w:hAnsi="Arial" w:cs="Arial"/>
                <w:i/>
                <w:sz w:val="24"/>
                <w:szCs w:val="24"/>
              </w:rPr>
              <w:t>mantendrán vigilancia permanente de las condiciones del volcán.</w:t>
            </w:r>
          </w:p>
          <w:p w14:paraId="37A93E6C" w14:textId="77777777" w:rsidR="00000000" w:rsidRDefault="008E324A">
            <w:pPr>
              <w:numPr>
                <w:ilvl w:val="0"/>
                <w:numId w:val="2"/>
              </w:numPr>
              <w:spacing w:after="0" w:line="240" w:lineRule="auto"/>
              <w:contextualSpacing/>
              <w:jc w:val="both"/>
              <w:rPr>
                <w:rFonts w:ascii="Arial" w:hAnsi="Arial" w:cs="Arial"/>
                <w:i/>
                <w:sz w:val="24"/>
                <w:szCs w:val="24"/>
              </w:rPr>
            </w:pPr>
            <w:r>
              <w:rPr>
                <w:rFonts w:ascii="Arial" w:hAnsi="Arial" w:cs="Arial"/>
                <w:i/>
                <w:sz w:val="24"/>
                <w:szCs w:val="24"/>
              </w:rPr>
              <w:t>Para un adecuado monitoreo, se hace uso de aparatos tecnológicos como son los censores expogás y lo censores de mano.</w:t>
            </w:r>
          </w:p>
          <w:p w14:paraId="72CC85C8" w14:textId="77777777" w:rsidR="00000000" w:rsidRDefault="008E324A">
            <w:pPr>
              <w:spacing w:after="0" w:line="240" w:lineRule="auto"/>
              <w:jc w:val="both"/>
              <w:rPr>
                <w:rFonts w:ascii="Arial" w:hAnsi="Arial" w:cs="Arial"/>
                <w:i/>
                <w:sz w:val="24"/>
                <w:szCs w:val="24"/>
              </w:rPr>
            </w:pPr>
          </w:p>
          <w:p w14:paraId="2B352D9D" w14:textId="77777777" w:rsidR="00000000" w:rsidRDefault="008E324A">
            <w:pPr>
              <w:spacing w:line="254" w:lineRule="auto"/>
              <w:jc w:val="both"/>
              <w:rPr>
                <w:rFonts w:ascii="Arial" w:hAnsi="Arial" w:cs="Arial"/>
                <w:sz w:val="28"/>
                <w:szCs w:val="24"/>
              </w:rPr>
            </w:pPr>
            <w:r>
              <w:rPr>
                <w:rFonts w:ascii="Arial" w:hAnsi="Arial" w:cs="Arial"/>
                <w:b/>
                <w:i/>
                <w:szCs w:val="24"/>
              </w:rPr>
              <w:t xml:space="preserve">San José, 22 de octubre del 2019. </w:t>
            </w:r>
            <w:r>
              <w:rPr>
                <w:rFonts w:ascii="Arial" w:hAnsi="Arial" w:cs="Arial"/>
                <w:szCs w:val="24"/>
              </w:rPr>
              <w:t xml:space="preserve"> </w:t>
            </w:r>
            <w:r>
              <w:rPr>
                <w:rFonts w:ascii="Arial" w:hAnsi="Arial" w:cs="Arial"/>
                <w:sz w:val="28"/>
                <w:szCs w:val="24"/>
              </w:rPr>
              <w:t>El personal de la Comisión Nacional de</w:t>
            </w:r>
            <w:r>
              <w:rPr>
                <w:rFonts w:ascii="Arial" w:hAnsi="Arial" w:cs="Arial"/>
                <w:sz w:val="28"/>
                <w:szCs w:val="24"/>
              </w:rPr>
              <w:t xml:space="preserve"> Prevención de Riesgos y Atención de Emergencia (CNE) realizó el pasado viernes una visita al Parque Nacional Volcán Poás para actualizar los mapas de peligros volcánicos que contemplan lluvia ácida, impactos balísticos, ceniza, flujos piroplásticos, y lad</w:t>
            </w:r>
            <w:r>
              <w:rPr>
                <w:rFonts w:ascii="Arial" w:hAnsi="Arial" w:cs="Arial"/>
                <w:sz w:val="28"/>
                <w:szCs w:val="24"/>
              </w:rPr>
              <w:t xml:space="preserve">ares. </w:t>
            </w:r>
          </w:p>
          <w:p w14:paraId="32239F80" w14:textId="77777777" w:rsidR="00000000" w:rsidRDefault="008E324A">
            <w:pPr>
              <w:spacing w:line="254" w:lineRule="auto"/>
              <w:jc w:val="both"/>
              <w:rPr>
                <w:rFonts w:ascii="Arial" w:hAnsi="Arial" w:cs="Arial"/>
                <w:sz w:val="28"/>
                <w:szCs w:val="24"/>
              </w:rPr>
            </w:pPr>
            <w:r>
              <w:rPr>
                <w:rFonts w:ascii="Arial" w:hAnsi="Arial" w:cs="Arial"/>
                <w:sz w:val="28"/>
                <w:szCs w:val="24"/>
              </w:rPr>
              <w:t>El geólogo Blas Sánchez, indicó que debido a las constantes erupciones que se manifestaron el año pasado, se vio en la necesidad de actualizar el mapa por la afectación que presentó la actividad.</w:t>
            </w:r>
          </w:p>
          <w:p w14:paraId="1BAAC592" w14:textId="77777777" w:rsidR="00000000" w:rsidRDefault="008E324A">
            <w:pPr>
              <w:spacing w:line="254" w:lineRule="auto"/>
              <w:jc w:val="center"/>
              <w:rPr>
                <w:rFonts w:ascii="Arial" w:hAnsi="Arial" w:cs="Arial"/>
                <w:sz w:val="28"/>
                <w:szCs w:val="24"/>
              </w:rPr>
            </w:pPr>
            <w:r>
              <w:rPr>
                <w:rFonts w:ascii="Arial" w:hAnsi="Arial" w:cs="Arial"/>
                <w:noProof/>
                <w:sz w:val="28"/>
                <w:szCs w:val="24"/>
                <w:lang w:eastAsia="es-ES"/>
              </w:rPr>
              <w:lastRenderedPageBreak/>
              <w:drawing>
                <wp:inline distT="0" distB="0" distL="0" distR="0" wp14:anchorId="21AF9926" wp14:editId="68930B83">
                  <wp:extent cx="5160645" cy="3434715"/>
                  <wp:effectExtent l="0" t="0" r="1905" b="0"/>
                  <wp:docPr id="2" name="Imagen 6" descr="-Jih922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Jih922g.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0645" cy="3434715"/>
                          </a:xfrm>
                          <a:prstGeom prst="rect">
                            <a:avLst/>
                          </a:prstGeom>
                          <a:noFill/>
                          <a:ln>
                            <a:noFill/>
                          </a:ln>
                        </pic:spPr>
                      </pic:pic>
                    </a:graphicData>
                  </a:graphic>
                </wp:inline>
              </w:drawing>
            </w:r>
          </w:p>
          <w:p w14:paraId="016A443D" w14:textId="77777777" w:rsidR="00000000" w:rsidRDefault="008E324A">
            <w:pPr>
              <w:spacing w:line="254" w:lineRule="auto"/>
              <w:jc w:val="both"/>
              <w:rPr>
                <w:rFonts w:ascii="Arial" w:hAnsi="Arial" w:cs="Arial"/>
                <w:sz w:val="28"/>
                <w:szCs w:val="24"/>
              </w:rPr>
            </w:pPr>
            <w:r>
              <w:rPr>
                <w:rFonts w:ascii="Arial" w:hAnsi="Arial" w:cs="Arial"/>
                <w:sz w:val="28"/>
                <w:szCs w:val="24"/>
              </w:rPr>
              <w:t>Los geólogos de la CNE realizan un levantamiento fo</w:t>
            </w:r>
            <w:r>
              <w:rPr>
                <w:rFonts w:ascii="Arial" w:hAnsi="Arial" w:cs="Arial"/>
                <w:sz w:val="28"/>
                <w:szCs w:val="24"/>
              </w:rPr>
              <w:t>togramétrico y de fotografía aérea, con el fin de identificar las zonas que se vieron afectadas por unas lluvias muy ácidas que se presentaron el pasado mes en el macizo.  Para ello, se dispone de drones que  analizan las condiciones del entorno del macizo</w:t>
            </w:r>
            <w:r>
              <w:rPr>
                <w:rFonts w:ascii="Arial" w:hAnsi="Arial" w:cs="Arial"/>
                <w:sz w:val="28"/>
                <w:szCs w:val="24"/>
              </w:rPr>
              <w:t xml:space="preserve"> y los procesos de levantamiento de información geográfica para medir los cambios presentados.   </w:t>
            </w:r>
          </w:p>
          <w:p w14:paraId="64C89599" w14:textId="77777777" w:rsidR="00000000" w:rsidRDefault="008E324A">
            <w:pPr>
              <w:spacing w:line="254" w:lineRule="auto"/>
              <w:jc w:val="both"/>
              <w:rPr>
                <w:rFonts w:ascii="Arial" w:hAnsi="Arial" w:cs="Arial"/>
                <w:b/>
                <w:sz w:val="28"/>
                <w:szCs w:val="24"/>
              </w:rPr>
            </w:pPr>
            <w:r>
              <w:rPr>
                <w:rFonts w:ascii="Arial" w:hAnsi="Arial" w:cs="Arial"/>
                <w:b/>
                <w:sz w:val="28"/>
                <w:szCs w:val="24"/>
              </w:rPr>
              <w:t>Medidas para una estancia segura de los visitantes</w:t>
            </w:r>
          </w:p>
          <w:p w14:paraId="7E200CAF" w14:textId="77777777" w:rsidR="00000000" w:rsidRDefault="008E324A">
            <w:pPr>
              <w:spacing w:line="254" w:lineRule="auto"/>
              <w:jc w:val="both"/>
              <w:rPr>
                <w:rFonts w:ascii="Arial" w:hAnsi="Arial" w:cs="Arial"/>
                <w:sz w:val="28"/>
                <w:szCs w:val="24"/>
              </w:rPr>
            </w:pPr>
            <w:r>
              <w:rPr>
                <w:rFonts w:ascii="Arial" w:hAnsi="Arial" w:cs="Arial"/>
                <w:sz w:val="28"/>
                <w:szCs w:val="24"/>
              </w:rPr>
              <w:t>Para garantizar la seguridad de visitantes y guardaparques, el personal del Sistema Nacional de Áreas de Co</w:t>
            </w:r>
            <w:r>
              <w:rPr>
                <w:rFonts w:ascii="Arial" w:hAnsi="Arial" w:cs="Arial"/>
                <w:sz w:val="28"/>
                <w:szCs w:val="24"/>
              </w:rPr>
              <w:t>nservación mantiene activos permanentemente los protocolos de seguridad.</w:t>
            </w:r>
          </w:p>
          <w:p w14:paraId="2E9395C7" w14:textId="77777777" w:rsidR="00000000" w:rsidRDefault="008E324A">
            <w:pPr>
              <w:spacing w:line="254" w:lineRule="auto"/>
              <w:jc w:val="both"/>
              <w:rPr>
                <w:rFonts w:ascii="Arial" w:hAnsi="Arial" w:cs="Arial"/>
                <w:sz w:val="28"/>
                <w:szCs w:val="24"/>
              </w:rPr>
            </w:pPr>
            <w:r>
              <w:rPr>
                <w:rFonts w:ascii="Arial" w:hAnsi="Arial" w:cs="Arial"/>
                <w:sz w:val="28"/>
                <w:szCs w:val="24"/>
              </w:rPr>
              <w:t>Actualmente el Parque cuenta con cinco bunkers de protección y alertas en colores azul, amarillo y rojo que advierten a los visitantes en caso de una eventualidad y posible evacuación</w:t>
            </w:r>
            <w:r>
              <w:rPr>
                <w:rFonts w:ascii="Arial" w:hAnsi="Arial" w:cs="Arial"/>
                <w:sz w:val="28"/>
                <w:szCs w:val="24"/>
              </w:rPr>
              <w:t xml:space="preserve"> del Parque.</w:t>
            </w:r>
          </w:p>
          <w:p w14:paraId="6EE5C50A" w14:textId="77777777" w:rsidR="00000000" w:rsidRDefault="008E324A">
            <w:pPr>
              <w:spacing w:line="254" w:lineRule="auto"/>
              <w:jc w:val="center"/>
              <w:rPr>
                <w:rFonts w:ascii="Arial" w:hAnsi="Arial" w:cs="Arial"/>
                <w:sz w:val="28"/>
                <w:szCs w:val="24"/>
              </w:rPr>
            </w:pPr>
            <w:r>
              <w:rPr>
                <w:rFonts w:ascii="Arial" w:hAnsi="Arial" w:cs="Arial"/>
                <w:noProof/>
                <w:sz w:val="28"/>
                <w:szCs w:val="24"/>
                <w:lang w:eastAsia="es-ES"/>
              </w:rPr>
              <w:lastRenderedPageBreak/>
              <w:drawing>
                <wp:inline distT="0" distB="0" distL="0" distR="0" wp14:anchorId="6C2D9015" wp14:editId="2AFD5A42">
                  <wp:extent cx="5160645" cy="3434715"/>
                  <wp:effectExtent l="0" t="0" r="1905" b="0"/>
                  <wp:docPr id="3" name="Imagen 7" descr="yxlSIMC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yxlSIMCg.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0645" cy="3434715"/>
                          </a:xfrm>
                          <a:prstGeom prst="rect">
                            <a:avLst/>
                          </a:prstGeom>
                          <a:noFill/>
                          <a:ln>
                            <a:noFill/>
                          </a:ln>
                        </pic:spPr>
                      </pic:pic>
                    </a:graphicData>
                  </a:graphic>
                </wp:inline>
              </w:drawing>
            </w:r>
          </w:p>
          <w:p w14:paraId="7FC4F0FD" w14:textId="77777777" w:rsidR="00000000" w:rsidRDefault="008E324A">
            <w:pPr>
              <w:spacing w:line="254" w:lineRule="auto"/>
              <w:jc w:val="both"/>
              <w:rPr>
                <w:rFonts w:ascii="Arial" w:hAnsi="Arial" w:cs="Arial"/>
                <w:sz w:val="28"/>
                <w:szCs w:val="24"/>
              </w:rPr>
            </w:pPr>
            <w:r>
              <w:rPr>
                <w:rFonts w:ascii="Arial" w:hAnsi="Arial" w:cs="Arial"/>
                <w:sz w:val="28"/>
                <w:szCs w:val="24"/>
              </w:rPr>
              <w:t xml:space="preserve">Para un adecuado monitoreo, el personal técnico hace uso de aparatos tecnológicos como lo son los censores expogás y lo censores de mano que son utilizados prioritariamente por guardaparques.  </w:t>
            </w:r>
            <w:r>
              <w:rPr>
                <w:rFonts w:ascii="Arial" w:hAnsi="Arial" w:cs="Arial"/>
                <w:sz w:val="28"/>
                <w:szCs w:val="24"/>
              </w:rPr>
              <w:t>Estos permiten el monitoreo y la rápida acción en caso de que se eleven los nivel de gases volcánicos (CO2 SO2), que son perjudiciales para la salud.</w:t>
            </w:r>
          </w:p>
          <w:p w14:paraId="415E0A87" w14:textId="77777777" w:rsidR="00000000" w:rsidRDefault="008E324A">
            <w:pPr>
              <w:spacing w:line="254" w:lineRule="auto"/>
              <w:jc w:val="both"/>
              <w:rPr>
                <w:rFonts w:ascii="Arial" w:hAnsi="Arial" w:cs="Arial"/>
                <w:sz w:val="28"/>
                <w:szCs w:val="24"/>
              </w:rPr>
            </w:pPr>
            <w:r>
              <w:rPr>
                <w:rFonts w:ascii="Arial" w:hAnsi="Arial" w:cs="Arial"/>
                <w:sz w:val="28"/>
                <w:szCs w:val="24"/>
              </w:rPr>
              <w:t>Además como medida preventiva, la administración del Parque brinda a los visitantes cascos, mascarillas es</w:t>
            </w:r>
            <w:r>
              <w:rPr>
                <w:rFonts w:ascii="Arial" w:hAnsi="Arial" w:cs="Arial"/>
                <w:sz w:val="28"/>
                <w:szCs w:val="24"/>
              </w:rPr>
              <w:t>peciales y modula la permanencia de los visitantes en la zona del mirador.</w:t>
            </w:r>
          </w:p>
          <w:p w14:paraId="4FC6B72E" w14:textId="77777777" w:rsidR="00000000" w:rsidRDefault="008E324A">
            <w:pPr>
              <w:spacing w:line="254" w:lineRule="auto"/>
              <w:jc w:val="both"/>
              <w:rPr>
                <w:rFonts w:ascii="Arial" w:hAnsi="Arial" w:cs="Arial"/>
                <w:b/>
                <w:sz w:val="28"/>
                <w:szCs w:val="24"/>
              </w:rPr>
            </w:pPr>
            <w:r>
              <w:rPr>
                <w:rFonts w:ascii="Arial" w:hAnsi="Arial" w:cs="Arial"/>
                <w:b/>
                <w:sz w:val="28"/>
                <w:szCs w:val="24"/>
              </w:rPr>
              <w:t>Antecedentes</w:t>
            </w:r>
          </w:p>
          <w:tbl>
            <w:tblPr>
              <w:tblStyle w:val="Tablaconcuadrcula"/>
              <w:tblW w:w="0" w:type="auto"/>
              <w:tblInd w:w="0" w:type="dxa"/>
              <w:tblLook w:val="04A0" w:firstRow="1" w:lastRow="0" w:firstColumn="1" w:lastColumn="0" w:noHBand="0" w:noVBand="1"/>
            </w:tblPr>
            <w:tblGrid>
              <w:gridCol w:w="5654"/>
              <w:gridCol w:w="2526"/>
            </w:tblGrid>
            <w:tr w:rsidR="00000000" w14:paraId="4CE7E8AE" w14:textId="77777777">
              <w:tc>
                <w:tcPr>
                  <w:tcW w:w="6816" w:type="dxa"/>
                  <w:tcBorders>
                    <w:top w:val="single" w:sz="4" w:space="0" w:color="auto"/>
                    <w:left w:val="single" w:sz="4" w:space="0" w:color="auto"/>
                    <w:bottom w:val="single" w:sz="4" w:space="0" w:color="auto"/>
                    <w:right w:val="single" w:sz="4" w:space="0" w:color="auto"/>
                  </w:tcBorders>
                  <w:hideMark/>
                </w:tcPr>
                <w:p w14:paraId="156E4D42" w14:textId="77777777" w:rsidR="00000000" w:rsidRDefault="008E324A">
                  <w:pPr>
                    <w:spacing w:line="254" w:lineRule="auto"/>
                    <w:jc w:val="both"/>
                    <w:rPr>
                      <w:rFonts w:ascii="Arial" w:hAnsi="Arial" w:cs="Arial"/>
                      <w:b/>
                      <w:sz w:val="28"/>
                      <w:szCs w:val="24"/>
                    </w:rPr>
                  </w:pPr>
                  <w:r>
                    <w:rPr>
                      <w:rFonts w:ascii="Arial" w:hAnsi="Arial" w:cs="Arial"/>
                      <w:sz w:val="28"/>
                      <w:szCs w:val="24"/>
                    </w:rPr>
                    <w:t>El vulcanólogo Guillermo Alvarado Induni, indicó que el volcán Poás es uno de los cinco volcanes históricamente activos de Costa Rica y por lo tanto presenta constantem</w:t>
                  </w:r>
                  <w:r>
                    <w:rPr>
                      <w:rFonts w:ascii="Arial" w:hAnsi="Arial" w:cs="Arial"/>
                      <w:sz w:val="28"/>
                      <w:szCs w:val="24"/>
                    </w:rPr>
                    <w:t>ente cambios en su actividad, morfología y paisaje. Razón por la cual, se tienen que hacer visitar periódicas y análisis constantes para seguirle el pulso a la actividad que presenta el volcán, concluyó Alvarado.</w:t>
                  </w:r>
                </w:p>
                <w:p w14:paraId="4396A5E2" w14:textId="77777777" w:rsidR="00000000" w:rsidRDefault="008E324A">
                  <w:pPr>
                    <w:spacing w:line="254" w:lineRule="auto"/>
                    <w:jc w:val="both"/>
                    <w:rPr>
                      <w:rFonts w:ascii="Arial" w:hAnsi="Arial" w:cs="Arial"/>
                      <w:b/>
                      <w:sz w:val="28"/>
                      <w:szCs w:val="24"/>
                    </w:rPr>
                  </w:pPr>
                  <w:r>
                    <w:rPr>
                      <w:rFonts w:ascii="Arial" w:hAnsi="Arial" w:cs="Arial"/>
                      <w:sz w:val="28"/>
                      <w:szCs w:val="24"/>
                    </w:rPr>
                    <w:t>En virtud de esto, el Comité Asesor Técnico</w:t>
                  </w:r>
                  <w:r>
                    <w:rPr>
                      <w:rFonts w:ascii="Arial" w:hAnsi="Arial" w:cs="Arial"/>
                      <w:sz w:val="28"/>
                      <w:szCs w:val="24"/>
                    </w:rPr>
                    <w:t xml:space="preserve"> de Vulcanología y Sismología de la CNE, que está compuesto por la RSN (UCR-ICE) y el OVSICORI, mantienen vigilancia permanente de las condiciones del volcán Poás con sus equipos de monitoreo volcánico (sismicidad, medidor de gases, deformación, estación m</w:t>
                  </w:r>
                  <w:r>
                    <w:rPr>
                      <w:rFonts w:ascii="Arial" w:hAnsi="Arial" w:cs="Arial"/>
                      <w:sz w:val="28"/>
                      <w:szCs w:val="24"/>
                    </w:rPr>
                    <w:t>eteorológica y cámaras).</w:t>
                  </w:r>
                </w:p>
              </w:tc>
              <w:tc>
                <w:tcPr>
                  <w:tcW w:w="1364" w:type="dxa"/>
                  <w:tcBorders>
                    <w:top w:val="single" w:sz="4" w:space="0" w:color="auto"/>
                    <w:left w:val="single" w:sz="4" w:space="0" w:color="auto"/>
                    <w:bottom w:val="single" w:sz="4" w:space="0" w:color="auto"/>
                    <w:right w:val="single" w:sz="4" w:space="0" w:color="auto"/>
                  </w:tcBorders>
                  <w:hideMark/>
                </w:tcPr>
                <w:p w14:paraId="05669ED4" w14:textId="77777777" w:rsidR="00000000" w:rsidRDefault="008E324A">
                  <w:pPr>
                    <w:spacing w:line="254" w:lineRule="auto"/>
                    <w:jc w:val="both"/>
                    <w:rPr>
                      <w:rFonts w:ascii="Arial" w:hAnsi="Arial" w:cs="Arial"/>
                      <w:b/>
                      <w:sz w:val="28"/>
                      <w:szCs w:val="24"/>
                    </w:rPr>
                  </w:pPr>
                  <w:r>
                    <w:rPr>
                      <w:rFonts w:ascii="Arial" w:hAnsi="Arial" w:cs="Arial"/>
                      <w:b/>
                      <w:noProof/>
                      <w:sz w:val="28"/>
                      <w:szCs w:val="24"/>
                      <w:lang w:eastAsia="es-ES"/>
                    </w:rPr>
                    <w:drawing>
                      <wp:inline distT="0" distB="0" distL="0" distR="0" wp14:anchorId="547C6DB7" wp14:editId="4489FA38">
                        <wp:extent cx="1463040" cy="2178685"/>
                        <wp:effectExtent l="0" t="0" r="3810" b="0"/>
                        <wp:docPr id="4" name="Imagen 9" descr="HN_si3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N_si3h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2178685"/>
                                </a:xfrm>
                                <a:prstGeom prst="rect">
                                  <a:avLst/>
                                </a:prstGeom>
                                <a:noFill/>
                                <a:ln>
                                  <a:noFill/>
                                </a:ln>
                              </pic:spPr>
                            </pic:pic>
                          </a:graphicData>
                        </a:graphic>
                      </wp:inline>
                    </w:drawing>
                  </w:r>
                </w:p>
              </w:tc>
            </w:tr>
          </w:tbl>
          <w:p w14:paraId="77D647DB" w14:textId="77777777" w:rsidR="00000000" w:rsidRDefault="008E324A">
            <w:pPr>
              <w:spacing w:line="254" w:lineRule="auto"/>
              <w:jc w:val="both"/>
              <w:rPr>
                <w:rFonts w:ascii="Arial" w:hAnsi="Arial" w:cs="Arial"/>
                <w:b/>
                <w:sz w:val="24"/>
                <w:szCs w:val="24"/>
              </w:rPr>
            </w:pPr>
          </w:p>
          <w:p w14:paraId="728F84EE" w14:textId="77777777" w:rsidR="00000000" w:rsidRDefault="008E324A">
            <w:pPr>
              <w:spacing w:line="254" w:lineRule="auto"/>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14:paraId="06EB9FB7" w14:textId="77777777" w:rsidR="00000000" w:rsidRDefault="008E324A">
            <w:pPr>
              <w:spacing w:after="0" w:line="240" w:lineRule="auto"/>
              <w:jc w:val="center"/>
              <w:rPr>
                <w:bCs/>
                <w:color w:val="000000"/>
                <w:sz w:val="40"/>
                <w:szCs w:val="40"/>
                <w:lang w:eastAsia="es-CR"/>
              </w:rPr>
            </w:pPr>
          </w:p>
        </w:tc>
      </w:tr>
      <w:tr w:rsidR="00000000" w14:paraId="7BF812CC" w14:textId="77777777">
        <w:tc>
          <w:tcPr>
            <w:tcW w:w="270" w:type="dxa"/>
            <w:tcBorders>
              <w:top w:val="single" w:sz="4" w:space="0" w:color="auto"/>
              <w:left w:val="single" w:sz="4" w:space="0" w:color="auto"/>
              <w:bottom w:val="single" w:sz="4" w:space="0" w:color="auto"/>
              <w:right w:val="single" w:sz="4" w:space="0" w:color="auto"/>
            </w:tcBorders>
          </w:tcPr>
          <w:p w14:paraId="73AA4CB0" w14:textId="77777777" w:rsidR="00000000" w:rsidRDefault="008E324A">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14:paraId="674CF1A6" w14:textId="77777777" w:rsidR="00000000" w:rsidRDefault="008E324A">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14:paraId="0DDF54EF" w14:textId="77777777" w:rsidR="00000000" w:rsidRDefault="008E324A">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14:paraId="4BCA1051" w14:textId="77777777" w:rsidR="00000000" w:rsidRDefault="008E324A">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14:paraId="21E0D5CF" w14:textId="77777777" w:rsidR="00000000" w:rsidRDefault="008E324A">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49772CA2" w14:textId="77777777" w:rsidR="00000000" w:rsidRDefault="008E324A">
            <w:pPr>
              <w:spacing w:after="0" w:line="240" w:lineRule="auto"/>
              <w:jc w:val="center"/>
              <w:rPr>
                <w:bCs/>
                <w:color w:val="000000"/>
                <w:sz w:val="40"/>
                <w:szCs w:val="40"/>
                <w:lang w:eastAsia="es-CR"/>
              </w:rPr>
            </w:pPr>
          </w:p>
        </w:tc>
      </w:tr>
    </w:tbl>
    <w:p w14:paraId="76F6150A" w14:textId="77777777" w:rsidR="00000000" w:rsidRDefault="008E324A">
      <w:pPr>
        <w:rPr>
          <w:lang w:val="es-ES"/>
        </w:rPr>
      </w:pPr>
    </w:p>
    <w:sectPr w:rsidR="00000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6AF2"/>
    <w:multiLevelType w:val="hybridMultilevel"/>
    <w:tmpl w:val="2FEE0C0A"/>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hint="default"/>
      </w:rPr>
    </w:lvl>
    <w:lvl w:ilvl="6" w:tplc="0C0A0001">
      <w:start w:val="1"/>
      <w:numFmt w:val="bullet"/>
      <w:lvlText w:val=""/>
      <w:lvlJc w:val="left"/>
      <w:pPr>
        <w:ind w:left="5248" w:hanging="360"/>
      </w:pPr>
      <w:rPr>
        <w:rFonts w:ascii="Symbol" w:hAnsi="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hint="default"/>
      </w:rPr>
    </w:lvl>
  </w:abstractNum>
  <w:num w:numId="1" w16cid:durableId="113252034">
    <w:abstractNumId w:val="0"/>
  </w:num>
  <w:num w:numId="2" w16cid:durableId="8697309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4A"/>
    <w:rsid w:val="008E3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CE0ED01"/>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4" w:lineRule="auto"/>
      <w:ind w:left="720"/>
      <w:contextualSpacing/>
    </w:p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2562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2022-05-13T17:27:00Z</dcterms:created>
  <dcterms:modified xsi:type="dcterms:W3CDTF">2022-05-13T17:27:00Z</dcterms:modified>
</cp:coreProperties>
</file>