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21"/>
        <w:gridCol w:w="2208"/>
        <w:gridCol w:w="5843"/>
        <w:gridCol w:w="222"/>
      </w:tblGrid>
      <w:tr w:rsidR="00000000" w14:paraId="0A2CE275" w14:textId="77777777">
        <w:tc>
          <w:tcPr>
            <w:tcW w:w="221" w:type="dxa"/>
            <w:tcBorders>
              <w:top w:val="single" w:sz="4" w:space="0" w:color="auto"/>
              <w:left w:val="single" w:sz="4" w:space="0" w:color="auto"/>
              <w:bottom w:val="single" w:sz="4" w:space="0" w:color="auto"/>
              <w:right w:val="single" w:sz="4" w:space="0" w:color="auto"/>
            </w:tcBorders>
          </w:tcPr>
          <w:p w14:paraId="76A8E572" w14:textId="77777777" w:rsidR="00000000" w:rsidRDefault="00807BD2"/>
        </w:tc>
        <w:tc>
          <w:tcPr>
            <w:tcW w:w="8051" w:type="dxa"/>
            <w:gridSpan w:val="2"/>
            <w:tcBorders>
              <w:top w:val="single" w:sz="4" w:space="0" w:color="auto"/>
              <w:left w:val="single" w:sz="4" w:space="0" w:color="auto"/>
              <w:bottom w:val="single" w:sz="4" w:space="0" w:color="auto"/>
              <w:right w:val="single" w:sz="4" w:space="0" w:color="auto"/>
            </w:tcBorders>
          </w:tcPr>
          <w:p w14:paraId="48774F9C" w14:textId="77777777" w:rsidR="00000000" w:rsidRDefault="00807BD2">
            <w:pPr>
              <w:pStyle w:val="Ttulo"/>
              <w:jc w:val="center"/>
              <w:rPr>
                <w:color w:val="002060"/>
              </w:rPr>
            </w:pPr>
            <w:r>
              <w:rPr>
                <w:color w:val="002060"/>
              </w:rPr>
              <w:t>Costa Rica brinda ayuda a Bahamas tras paso de devastador huracán</w:t>
            </w:r>
          </w:p>
          <w:p w14:paraId="2435DDA1" w14:textId="77777777" w:rsidR="00000000" w:rsidRDefault="00807BD2">
            <w:pPr>
              <w:spacing w:after="0" w:line="240" w:lineRule="auto"/>
              <w:ind w:left="360"/>
              <w:jc w:val="center"/>
              <w:rPr>
                <w:rFonts w:ascii="Arial" w:hAnsi="Arial" w:cs="Arial"/>
                <w:b/>
                <w:sz w:val="32"/>
                <w:szCs w:val="24"/>
              </w:rPr>
            </w:pPr>
            <w:r>
              <w:rPr>
                <w:rFonts w:ascii="Arial" w:hAnsi="Arial" w:cs="Arial"/>
                <w:b/>
                <w:noProof/>
                <w:sz w:val="32"/>
                <w:szCs w:val="24"/>
                <w:lang w:eastAsia="es-ES"/>
              </w:rPr>
              <w:drawing>
                <wp:inline distT="0" distB="0" distL="0" distR="0" wp14:anchorId="2F700BC8" wp14:editId="7880C6C7">
                  <wp:extent cx="4913630" cy="3689350"/>
                  <wp:effectExtent l="0" t="0" r="1270" b="635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3630" cy="3689350"/>
                          </a:xfrm>
                          <a:prstGeom prst="rect">
                            <a:avLst/>
                          </a:prstGeom>
                          <a:noFill/>
                          <a:ln>
                            <a:noFill/>
                          </a:ln>
                        </pic:spPr>
                      </pic:pic>
                    </a:graphicData>
                  </a:graphic>
                </wp:inline>
              </w:drawing>
            </w:r>
          </w:p>
          <w:p w14:paraId="418427AE" w14:textId="77777777" w:rsidR="00000000" w:rsidRDefault="00807BD2">
            <w:pPr>
              <w:tabs>
                <w:tab w:val="left" w:pos="2880"/>
              </w:tabs>
              <w:spacing w:after="0" w:line="240" w:lineRule="auto"/>
              <w:rPr>
                <w:rFonts w:ascii="Arial" w:hAnsi="Arial" w:cs="Arial"/>
                <w:i/>
                <w:sz w:val="24"/>
                <w:szCs w:val="24"/>
              </w:rPr>
            </w:pPr>
            <w:r>
              <w:rPr>
                <w:rFonts w:ascii="Arial" w:hAnsi="Arial" w:cs="Arial"/>
                <w:i/>
                <w:sz w:val="24"/>
                <w:szCs w:val="24"/>
              </w:rPr>
              <w:tab/>
            </w:r>
          </w:p>
          <w:p w14:paraId="05F30EEA" w14:textId="77777777" w:rsidR="00000000" w:rsidRDefault="00807BD2">
            <w:pPr>
              <w:numPr>
                <w:ilvl w:val="0"/>
                <w:numId w:val="3"/>
              </w:numPr>
              <w:spacing w:after="0" w:line="240" w:lineRule="auto"/>
              <w:contextualSpacing/>
              <w:rPr>
                <w:rFonts w:ascii="Arial" w:hAnsi="Arial" w:cs="Arial"/>
                <w:i/>
                <w:sz w:val="24"/>
                <w:szCs w:val="24"/>
              </w:rPr>
            </w:pPr>
            <w:r>
              <w:rPr>
                <w:rFonts w:ascii="Arial" w:hAnsi="Arial" w:cs="Arial"/>
                <w:i/>
                <w:sz w:val="24"/>
                <w:szCs w:val="24"/>
              </w:rPr>
              <w:t>Este martes a las 4 a.m. sale el avión de Sección Aérea hacia Bahamas</w:t>
            </w:r>
          </w:p>
          <w:p w14:paraId="588FCC2C" w14:textId="77777777" w:rsidR="00000000" w:rsidRDefault="00807BD2">
            <w:pPr>
              <w:spacing w:after="0" w:line="240" w:lineRule="auto"/>
              <w:ind w:left="360"/>
              <w:rPr>
                <w:rFonts w:ascii="Arial" w:hAnsi="Arial" w:cs="Arial"/>
                <w:i/>
                <w:sz w:val="24"/>
                <w:szCs w:val="24"/>
              </w:rPr>
            </w:pPr>
          </w:p>
          <w:p w14:paraId="1F98916C" w14:textId="77777777" w:rsidR="00000000" w:rsidRDefault="00807BD2">
            <w:pPr>
              <w:spacing w:line="256" w:lineRule="auto"/>
              <w:rPr>
                <w:rFonts w:ascii="Arial" w:hAnsi="Arial" w:cs="Arial"/>
                <w:sz w:val="24"/>
                <w:szCs w:val="24"/>
              </w:rPr>
            </w:pPr>
            <w:r>
              <w:rPr>
                <w:rFonts w:ascii="Arial" w:hAnsi="Arial" w:cs="Arial"/>
                <w:b/>
                <w:i/>
                <w:szCs w:val="24"/>
              </w:rPr>
              <w:t xml:space="preserve">San José, 16  de septiembre  de 2019. </w:t>
            </w:r>
            <w:r>
              <w:rPr>
                <w:rFonts w:ascii="Arial" w:hAnsi="Arial" w:cs="Arial"/>
                <w:szCs w:val="24"/>
              </w:rPr>
              <w:t xml:space="preserve"> </w:t>
            </w:r>
            <w:r>
              <w:rPr>
                <w:rFonts w:ascii="Arial" w:hAnsi="Arial" w:cs="Arial"/>
                <w:sz w:val="24"/>
                <w:szCs w:val="24"/>
              </w:rPr>
              <w:t>Tras el paso del huracán Dorian que afectó directamente la comunidad de las Bahamas el pasado 31 de agosto, la ayuda humanitaria no se dejó esperar, y es así como el gobierno de Costa Rica realizó las gestiones necesarias para enviar ayuda a esa isla.</w:t>
            </w:r>
          </w:p>
          <w:p w14:paraId="3B0FA31E" w14:textId="77777777" w:rsidR="00000000" w:rsidRDefault="00807BD2">
            <w:pPr>
              <w:spacing w:line="256" w:lineRule="auto"/>
              <w:rPr>
                <w:rFonts w:ascii="Arial" w:hAnsi="Arial" w:cs="Arial"/>
                <w:sz w:val="24"/>
                <w:szCs w:val="24"/>
              </w:rPr>
            </w:pPr>
            <w:r>
              <w:rPr>
                <w:rFonts w:ascii="Arial" w:hAnsi="Arial" w:cs="Arial"/>
                <w:sz w:val="24"/>
                <w:szCs w:val="24"/>
              </w:rPr>
              <w:t>Debi</w:t>
            </w:r>
            <w:r>
              <w:rPr>
                <w:rFonts w:ascii="Arial" w:hAnsi="Arial" w:cs="Arial"/>
                <w:sz w:val="24"/>
                <w:szCs w:val="24"/>
              </w:rPr>
              <w:t>do a las pérdidas devastadoras que dejó el evento hidrometeorológico, el Ministerio de Relaciones Exteriores de Las Bahamas, hizo la solicitud formal de ayuda internacional para solventar los daños sufridos en su territorio.</w:t>
            </w:r>
          </w:p>
        </w:tc>
        <w:tc>
          <w:tcPr>
            <w:tcW w:w="222" w:type="dxa"/>
            <w:tcBorders>
              <w:top w:val="single" w:sz="4" w:space="0" w:color="auto"/>
              <w:left w:val="single" w:sz="4" w:space="0" w:color="auto"/>
              <w:bottom w:val="single" w:sz="4" w:space="0" w:color="auto"/>
              <w:right w:val="single" w:sz="4" w:space="0" w:color="auto"/>
            </w:tcBorders>
          </w:tcPr>
          <w:p w14:paraId="61F1894B" w14:textId="77777777" w:rsidR="00000000" w:rsidRDefault="00807BD2"/>
        </w:tc>
      </w:tr>
      <w:tr w:rsidR="00000000" w14:paraId="033E90E5" w14:textId="77777777">
        <w:trPr>
          <w:trHeight w:val="5244"/>
        </w:trPr>
        <w:tc>
          <w:tcPr>
            <w:tcW w:w="221" w:type="dxa"/>
            <w:tcBorders>
              <w:top w:val="single" w:sz="4" w:space="0" w:color="auto"/>
              <w:left w:val="single" w:sz="4" w:space="0" w:color="auto"/>
              <w:bottom w:val="single" w:sz="4" w:space="0" w:color="auto"/>
              <w:right w:val="single" w:sz="4" w:space="0" w:color="auto"/>
            </w:tcBorders>
          </w:tcPr>
          <w:p w14:paraId="76F85EAB" w14:textId="77777777" w:rsidR="00000000" w:rsidRDefault="00807BD2"/>
        </w:tc>
        <w:tc>
          <w:tcPr>
            <w:tcW w:w="2962" w:type="dxa"/>
            <w:tcBorders>
              <w:top w:val="single" w:sz="4" w:space="0" w:color="auto"/>
              <w:left w:val="single" w:sz="4" w:space="0" w:color="auto"/>
              <w:bottom w:val="single" w:sz="4" w:space="0" w:color="auto"/>
              <w:right w:val="single" w:sz="4" w:space="0" w:color="auto"/>
            </w:tcBorders>
          </w:tcPr>
          <w:p w14:paraId="3154C0DB" w14:textId="77777777" w:rsidR="00000000" w:rsidRDefault="00807BD2">
            <w:pPr>
              <w:spacing w:line="256" w:lineRule="auto"/>
              <w:rPr>
                <w:rFonts w:ascii="Arial" w:hAnsi="Arial" w:cs="Arial"/>
                <w:sz w:val="24"/>
                <w:szCs w:val="24"/>
              </w:rPr>
            </w:pPr>
            <w:r>
              <w:rPr>
                <w:rFonts w:ascii="Arial" w:hAnsi="Arial" w:cs="Arial"/>
                <w:sz w:val="24"/>
                <w:szCs w:val="24"/>
              </w:rPr>
              <w:t>En atención al pedimento de</w:t>
            </w:r>
            <w:r>
              <w:rPr>
                <w:rFonts w:ascii="Arial" w:hAnsi="Arial" w:cs="Arial"/>
                <w:sz w:val="24"/>
                <w:szCs w:val="24"/>
              </w:rPr>
              <w:t xml:space="preserve"> ayuda humanitaria, Costa Rica de forma solidario externó su apoyo y enviarán la colaboración por medio suministros.</w:t>
            </w:r>
          </w:p>
          <w:p w14:paraId="1B77596B" w14:textId="77777777" w:rsidR="00000000" w:rsidRDefault="00807BD2">
            <w:pPr>
              <w:spacing w:line="256" w:lineRule="auto"/>
              <w:rPr>
                <w:rFonts w:ascii="Arial" w:hAnsi="Arial" w:cs="Arial"/>
                <w:sz w:val="24"/>
                <w:szCs w:val="24"/>
              </w:rPr>
            </w:pPr>
            <w:r>
              <w:rPr>
                <w:rFonts w:ascii="Arial" w:hAnsi="Arial" w:cs="Arial"/>
                <w:sz w:val="24"/>
                <w:szCs w:val="24"/>
              </w:rPr>
              <w:t>La Comisión Nacional de Prevención de Riesgos y Atención de Emergencias (CNE), instruyó a cada una de las instituciones miembros del Comité</w:t>
            </w:r>
            <w:r>
              <w:rPr>
                <w:rFonts w:ascii="Arial" w:hAnsi="Arial" w:cs="Arial"/>
                <w:sz w:val="24"/>
                <w:szCs w:val="24"/>
              </w:rPr>
              <w:t xml:space="preserve"> Asesor Técnico de Asistencia Internacional (CATAI), de acuerdo a sus competencias, a activar los procedimientos internos para enviar ayuda al hermano país. </w:t>
            </w:r>
          </w:p>
          <w:p w14:paraId="4CAE18C4" w14:textId="77777777" w:rsidR="00000000" w:rsidRDefault="00807BD2">
            <w:pPr>
              <w:spacing w:line="256" w:lineRule="auto"/>
              <w:rPr>
                <w:rFonts w:ascii="Arial" w:hAnsi="Arial" w:cs="Arial"/>
                <w:sz w:val="24"/>
                <w:szCs w:val="24"/>
              </w:rPr>
            </w:pPr>
            <w:r>
              <w:rPr>
                <w:rFonts w:ascii="Arial" w:hAnsi="Arial" w:cs="Arial"/>
                <w:sz w:val="24"/>
                <w:szCs w:val="24"/>
              </w:rPr>
              <w:t xml:space="preserve">Por ello, la Benemérita Cruz Roja Costarricense, </w:t>
            </w:r>
            <w:r>
              <w:rPr>
                <w:rFonts w:ascii="Arial" w:hAnsi="Arial" w:cs="Arial"/>
                <w:sz w:val="24"/>
                <w:szCs w:val="24"/>
              </w:rPr>
              <w:t xml:space="preserve">Acueductos y Alcantarillados, y el Ministerio de Salud, la CNE así como Pharma Solitions y Exenos Costa Rica S.A.,  por parte del sector privado,  </w:t>
            </w:r>
            <w:r>
              <w:rPr>
                <w:rFonts w:ascii="Arial" w:hAnsi="Arial" w:cs="Arial"/>
                <w:sz w:val="24"/>
                <w:szCs w:val="24"/>
              </w:rPr>
              <w:lastRenderedPageBreak/>
              <w:t>aportaron pastillas de potabilización de agua, pajillas personales de potabilización de agua, reservorios par</w:t>
            </w:r>
            <w:r>
              <w:rPr>
                <w:rFonts w:ascii="Arial" w:hAnsi="Arial" w:cs="Arial"/>
                <w:sz w:val="24"/>
                <w:szCs w:val="24"/>
              </w:rPr>
              <w:t>a agua, reservorios colapsables para agua, kits de potabilización de aguas así como kits de higiene personal.</w:t>
            </w:r>
          </w:p>
          <w:p w14:paraId="4DF8E833" w14:textId="77777777" w:rsidR="00000000" w:rsidRDefault="00807BD2">
            <w:pPr>
              <w:rPr>
                <w:rFonts w:ascii="Arial" w:hAnsi="Arial" w:cs="Arial"/>
                <w:sz w:val="24"/>
                <w:szCs w:val="24"/>
              </w:rPr>
            </w:pPr>
          </w:p>
        </w:tc>
        <w:tc>
          <w:tcPr>
            <w:tcW w:w="5089" w:type="dxa"/>
            <w:tcBorders>
              <w:top w:val="single" w:sz="4" w:space="0" w:color="auto"/>
              <w:left w:val="single" w:sz="4" w:space="0" w:color="auto"/>
              <w:bottom w:val="single" w:sz="4" w:space="0" w:color="auto"/>
              <w:right w:val="single" w:sz="4" w:space="0" w:color="auto"/>
            </w:tcBorders>
            <w:hideMark/>
          </w:tcPr>
          <w:p w14:paraId="60F0D3ED" w14:textId="77777777" w:rsidR="00000000" w:rsidRDefault="00807BD2">
            <w:r>
              <w:rPr>
                <w:rFonts w:ascii="Arial" w:hAnsi="Arial" w:cs="Arial"/>
                <w:noProof/>
                <w:sz w:val="24"/>
                <w:szCs w:val="24"/>
                <w:lang w:eastAsia="es-ES"/>
              </w:rPr>
              <w:lastRenderedPageBreak/>
              <w:drawing>
                <wp:inline distT="0" distB="0" distL="0" distR="0" wp14:anchorId="7F56C4CD" wp14:editId="3EC8E27C">
                  <wp:extent cx="3697605" cy="2774950"/>
                  <wp:effectExtent l="0" t="0" r="0" b="635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7605" cy="2774950"/>
                          </a:xfrm>
                          <a:prstGeom prst="rect">
                            <a:avLst/>
                          </a:prstGeom>
                          <a:noFill/>
                          <a:ln>
                            <a:noFill/>
                          </a:ln>
                        </pic:spPr>
                      </pic:pic>
                    </a:graphicData>
                  </a:graphic>
                </wp:inline>
              </w:drawing>
            </w:r>
          </w:p>
        </w:tc>
        <w:tc>
          <w:tcPr>
            <w:tcW w:w="222" w:type="dxa"/>
            <w:tcBorders>
              <w:top w:val="single" w:sz="4" w:space="0" w:color="auto"/>
              <w:left w:val="single" w:sz="4" w:space="0" w:color="auto"/>
              <w:bottom w:val="single" w:sz="4" w:space="0" w:color="auto"/>
              <w:right w:val="single" w:sz="4" w:space="0" w:color="auto"/>
            </w:tcBorders>
          </w:tcPr>
          <w:p w14:paraId="11FF1E6A" w14:textId="77777777" w:rsidR="00000000" w:rsidRDefault="00807BD2"/>
        </w:tc>
      </w:tr>
      <w:tr w:rsidR="00000000" w14:paraId="13B77D33" w14:textId="77777777">
        <w:tc>
          <w:tcPr>
            <w:tcW w:w="221" w:type="dxa"/>
            <w:tcBorders>
              <w:top w:val="single" w:sz="4" w:space="0" w:color="auto"/>
              <w:left w:val="single" w:sz="4" w:space="0" w:color="auto"/>
              <w:bottom w:val="single" w:sz="4" w:space="0" w:color="auto"/>
              <w:right w:val="single" w:sz="4" w:space="0" w:color="auto"/>
            </w:tcBorders>
          </w:tcPr>
          <w:p w14:paraId="12494024" w14:textId="77777777" w:rsidR="00000000" w:rsidRDefault="00807BD2"/>
        </w:tc>
        <w:tc>
          <w:tcPr>
            <w:tcW w:w="8051" w:type="dxa"/>
            <w:gridSpan w:val="2"/>
            <w:tcBorders>
              <w:top w:val="single" w:sz="4" w:space="0" w:color="auto"/>
              <w:left w:val="single" w:sz="4" w:space="0" w:color="auto"/>
              <w:bottom w:val="single" w:sz="4" w:space="0" w:color="auto"/>
              <w:right w:val="single" w:sz="4" w:space="0" w:color="auto"/>
            </w:tcBorders>
            <w:hideMark/>
          </w:tcPr>
          <w:p w14:paraId="1F2E593C" w14:textId="77777777" w:rsidR="00000000" w:rsidRDefault="00807BD2">
            <w:pPr>
              <w:spacing w:line="256" w:lineRule="auto"/>
              <w:jc w:val="both"/>
              <w:rPr>
                <w:rFonts w:ascii="Arial" w:hAnsi="Arial" w:cs="Arial"/>
                <w:sz w:val="24"/>
                <w:szCs w:val="24"/>
              </w:rPr>
            </w:pPr>
            <w:r>
              <w:rPr>
                <w:rFonts w:ascii="Arial" w:hAnsi="Arial" w:cs="Arial"/>
                <w:sz w:val="24"/>
                <w:szCs w:val="24"/>
              </w:rPr>
              <w:t>Alexander Solís Delgado, presidente de la CNE, señaló que nuevamente nuestro país dice presente y de forma solidaria con el apoyo de diferen</w:t>
            </w:r>
            <w:r>
              <w:rPr>
                <w:rFonts w:ascii="Arial" w:hAnsi="Arial" w:cs="Arial"/>
                <w:sz w:val="24"/>
                <w:szCs w:val="24"/>
              </w:rPr>
              <w:t>tes instituciones públicas y privadas envía suministros para atender algunas de las necesidades básicas de la población afectada en Bahamas.</w:t>
            </w:r>
          </w:p>
          <w:p w14:paraId="50220719" w14:textId="77777777" w:rsidR="00000000" w:rsidRDefault="00807BD2">
            <w:pPr>
              <w:spacing w:line="256" w:lineRule="auto"/>
              <w:jc w:val="both"/>
              <w:rPr>
                <w:rFonts w:ascii="Arial" w:hAnsi="Arial" w:cs="Arial"/>
                <w:sz w:val="24"/>
                <w:szCs w:val="24"/>
              </w:rPr>
            </w:pPr>
            <w:r>
              <w:rPr>
                <w:rFonts w:ascii="Arial" w:hAnsi="Arial" w:cs="Arial"/>
                <w:sz w:val="24"/>
                <w:szCs w:val="24"/>
              </w:rPr>
              <w:t>El traslado  de los insumos se realizó este martes a las 4 a.m. desde Base 2 del Aeropuerto Juan Santamaría gracias</w:t>
            </w:r>
            <w:r>
              <w:rPr>
                <w:rFonts w:ascii="Arial" w:hAnsi="Arial" w:cs="Arial"/>
                <w:sz w:val="24"/>
                <w:szCs w:val="24"/>
              </w:rPr>
              <w:t xml:space="preserve"> al apoyo de la Sección de Vigilancia Aérea del Ministerio de Seguridad Pública.</w:t>
            </w:r>
          </w:p>
          <w:p w14:paraId="44771BAE" w14:textId="77777777" w:rsidR="00000000" w:rsidRDefault="00807BD2">
            <w:pPr>
              <w:spacing w:line="256" w:lineRule="auto"/>
              <w:jc w:val="both"/>
              <w:rPr>
                <w:rFonts w:ascii="Arial" w:hAnsi="Arial" w:cs="Arial"/>
                <w:b/>
                <w:sz w:val="24"/>
                <w:szCs w:val="26"/>
              </w:rPr>
            </w:pPr>
            <w:r>
              <w:rPr>
                <w:rFonts w:ascii="Arial" w:hAnsi="Arial" w:cs="Arial"/>
                <w:sz w:val="24"/>
                <w:szCs w:val="24"/>
              </w:rPr>
              <w:t>El arribo de los suministros se tiene previsto para el próximo</w:t>
            </w:r>
            <w:r>
              <w:rPr>
                <w:rFonts w:ascii="Arial" w:hAnsi="Arial" w:cs="Arial"/>
                <w:b/>
                <w:sz w:val="24"/>
                <w:szCs w:val="24"/>
              </w:rPr>
              <w:t xml:space="preserve"> miércoles 18 de setiembre a las 7 .m. hora local de Bahamas en el Aeropuerto Internacional Nasao. </w:t>
            </w:r>
          </w:p>
        </w:tc>
        <w:tc>
          <w:tcPr>
            <w:tcW w:w="222" w:type="dxa"/>
            <w:tcBorders>
              <w:top w:val="single" w:sz="4" w:space="0" w:color="auto"/>
              <w:left w:val="single" w:sz="4" w:space="0" w:color="auto"/>
              <w:bottom w:val="single" w:sz="4" w:space="0" w:color="auto"/>
              <w:right w:val="single" w:sz="4" w:space="0" w:color="auto"/>
            </w:tcBorders>
          </w:tcPr>
          <w:p w14:paraId="286DB4A2" w14:textId="77777777" w:rsidR="00000000" w:rsidRDefault="00807BD2"/>
        </w:tc>
      </w:tr>
    </w:tbl>
    <w:p w14:paraId="014AD8E9" w14:textId="77777777" w:rsidR="00000000" w:rsidRDefault="00807BD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26CE"/>
    <w:multiLevelType w:val="multilevel"/>
    <w:tmpl w:val="E41812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252FE6"/>
    <w:multiLevelType w:val="hybridMultilevel"/>
    <w:tmpl w:val="6C4282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56298442">
    <w:abstractNumId w:val="0"/>
  </w:num>
  <w:num w:numId="2" w16cid:durableId="1381392781">
    <w:abstractNumId w:val="1"/>
  </w:num>
  <w:num w:numId="3" w16cid:durableId="87931575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D2"/>
    <w:rsid w:val="00807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8FFB872"/>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customStyle="1" w:styleId="Puesto">
    <w:name w:val="Puesto"/>
    <w:basedOn w:val="Normal"/>
    <w:link w:val="PuestoCar"/>
  </w:style>
  <w:style w:type="character" w:customStyle="1" w:styleId="PuestoCar">
    <w:name w:val="Puesto Car"/>
    <w:basedOn w:val="Fuentedeprrafopredeter"/>
    <w:link w:val="Puesto"/>
    <w:uiPriority w:val="10"/>
    <w:locked/>
    <w:rPr>
      <w:rFonts w:asciiTheme="majorHAnsi" w:eastAsiaTheme="majorEastAsia" w:hAnsiTheme="majorHAnsi" w:cstheme="majorBidi" w:hint="default"/>
      <w:spacing w:val="-10"/>
      <w:kern w:val="28"/>
      <w:sz w:val="56"/>
      <w:szCs w:val="56"/>
    </w:r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2022-05-13T17:25:00Z</dcterms:created>
  <dcterms:modified xsi:type="dcterms:W3CDTF">2022-05-13T17:25:00Z</dcterms:modified>
</cp:coreProperties>
</file>