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21"/>
        <w:gridCol w:w="2653"/>
        <w:gridCol w:w="5399"/>
        <w:gridCol w:w="221"/>
      </w:tblGrid>
      <w:tr w:rsidR="00000000" w14:paraId="38E51E70" w14:textId="77777777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8FC4" w14:textId="77777777" w:rsidR="00000000" w:rsidRDefault="007221E7"/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1A36" w14:textId="77777777" w:rsidR="00000000" w:rsidRDefault="007221E7">
            <w:pPr>
              <w:pStyle w:val="Ttulo"/>
              <w:jc w:val="center"/>
              <w:rPr>
                <w:rFonts w:eastAsia="Times New Roman"/>
                <w:color w:val="002060"/>
                <w:lang w:eastAsia="es-CR"/>
              </w:rPr>
            </w:pPr>
            <w:r>
              <w:rPr>
                <w:rFonts w:eastAsia="Times New Roman"/>
                <w:color w:val="002060"/>
                <w:lang w:eastAsia="es-CR"/>
              </w:rPr>
              <w:t>CNE e IMAS inician etapa de ayuda y evaluación a familias de La Lucha y Río Claro</w:t>
            </w:r>
          </w:p>
          <w:p w14:paraId="746C5272" w14:textId="77777777" w:rsidR="00000000" w:rsidRDefault="007221E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201F1E"/>
                <w:sz w:val="36"/>
                <w:szCs w:val="36"/>
                <w:lang w:eastAsia="es-CR"/>
              </w:rPr>
            </w:pPr>
            <w:r>
              <w:rPr>
                <w:rFonts w:ascii="Arial" w:eastAsia="Times New Roman" w:hAnsi="Arial" w:cs="Arial"/>
                <w:b/>
                <w:noProof/>
                <w:color w:val="201F1E"/>
                <w:sz w:val="36"/>
                <w:szCs w:val="36"/>
                <w:lang w:eastAsia="es-ES"/>
              </w:rPr>
              <w:drawing>
                <wp:inline distT="0" distB="0" distL="0" distR="0" wp14:anchorId="6B096301" wp14:editId="622808BC">
                  <wp:extent cx="6122670" cy="4524375"/>
                  <wp:effectExtent l="0" t="0" r="0" b="9525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670" cy="452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3CE88" w14:textId="77777777" w:rsidR="00000000" w:rsidRDefault="007221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  <w:p w14:paraId="79371FA1" w14:textId="77777777" w:rsidR="00000000" w:rsidRDefault="007221E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Tras la fase de asistencia humanitaria, la CNE articula con diferentes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instituciones segunda etapa de atención a la población afectada recientemente por las intensas lluvias.</w:t>
            </w:r>
          </w:p>
          <w:p w14:paraId="52C556CD" w14:textId="77777777" w:rsidR="00000000" w:rsidRDefault="007221E7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</w:t>
            </w:r>
          </w:p>
          <w:p w14:paraId="779FE54A" w14:textId="77777777" w:rsidR="00000000" w:rsidRDefault="007221E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A la fecha, el IMAS atendió a 117 familias, con una inversión de aproximadamente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110 millones para el alquiler temporal de vivienda y suplir sus nece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sidades primarias.</w:t>
            </w:r>
          </w:p>
          <w:p w14:paraId="4C2C3A86" w14:textId="77777777" w:rsidR="00000000" w:rsidRDefault="007221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  <w:p w14:paraId="57CDFD39" w14:textId="77777777" w:rsidR="00000000" w:rsidRDefault="007221E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El MIVAH valorará las acciones a realizar para las familias a quienes se les inhabilitaron sus viviendas por deslizamientos.</w:t>
            </w:r>
          </w:p>
          <w:p w14:paraId="147845AE" w14:textId="77777777" w:rsidR="00000000" w:rsidRDefault="007221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  <w:p w14:paraId="6515F31C" w14:textId="77777777" w:rsidR="00000000" w:rsidRDefault="007221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San José, 17 de septiembre del 2019. Luego de las acciones de asistencia humanitaria por los deslizamientos qu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e provocaron las intensas lluvias del 8 de setiembre en diferentes partes de La Lucha de Lagarto y el Río Claro de Golfito, la Comisión Nacional de Prevención de Riesgos y Atención de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lastRenderedPageBreak/>
              <w:t>Emergencias (CNE) articula con varias instituciones continuar la segunda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etapa la evaluación y ayuda a las familias necesitadas.</w:t>
            </w:r>
          </w:p>
          <w:p w14:paraId="161C5D47" w14:textId="77777777" w:rsidR="00000000" w:rsidRDefault="007221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  <w:p w14:paraId="59333A0B" w14:textId="77777777" w:rsidR="00000000" w:rsidRDefault="007221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Durante este martes, autoridades de la CNE, del Instituto Mixto de Ayuda Social (IMAS), y de los ministerios de Vivienda y Asentamientos Humanos (MIVAH), Economía, Industria y Comercio (MEIC), y el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Obras Públicas y Transportes (MOPT), realizaron una visita a la zona con el fin de dar seguimiento a las acciones realizadas y tomar decisiones importantes para rehabilitar las mayores afectaciones en la zona.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C41" w14:textId="77777777" w:rsidR="00000000" w:rsidRDefault="007221E7"/>
        </w:tc>
      </w:tr>
      <w:tr w:rsidR="00000000" w14:paraId="23378033" w14:textId="77777777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8AB3" w14:textId="77777777" w:rsidR="00000000" w:rsidRDefault="007221E7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D0F8" w14:textId="77777777" w:rsidR="00000000" w:rsidRDefault="007221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Prioritariamente,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la asistencia humanitaria del IMAS se centra en el alquiler de vivienda y compra de menaje para las familias que vieron sus casas totalmente dañadas por los deslizamientos. </w:t>
            </w:r>
          </w:p>
          <w:p w14:paraId="3AB368B3" w14:textId="77777777" w:rsidR="00000000" w:rsidRDefault="007221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  <w:p w14:paraId="0FC4741F" w14:textId="77777777" w:rsidR="00000000" w:rsidRDefault="007221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“En virtud de esto, a la fecha el IMAS atendió a 117 familias afectadas, con una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inversión social aproximada de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₡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110 millones; atención que se ejecuta mediante el beneficio de emergencias, alquiler temporal de vivienda y para garantizar las necesidades básicas e inmediatas de las familias”, informó el Ministro de Desarrollo Humano e In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clusión Social y Presidente Ejecutivo del IMAS, Juan Luis Bermúdez.</w:t>
            </w:r>
          </w:p>
          <w:p w14:paraId="7EA77B9C" w14:textId="77777777" w:rsidR="00000000" w:rsidRDefault="007221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1245" w14:textId="77777777" w:rsidR="00000000" w:rsidRDefault="007221E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E3F960" wp14:editId="28E2B2F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15240</wp:posOffset>
                  </wp:positionV>
                  <wp:extent cx="3435350" cy="2534920"/>
                  <wp:effectExtent l="0" t="0" r="0" b="0"/>
                  <wp:wrapSquare wrapText="bothSides"/>
                  <wp:docPr id="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0" cy="2534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D1FC" w14:textId="77777777" w:rsidR="00000000" w:rsidRDefault="007221E7"/>
        </w:tc>
      </w:tr>
      <w:tr w:rsidR="00000000" w14:paraId="30FF9643" w14:textId="77777777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DB3A" w14:textId="77777777" w:rsidR="00000000" w:rsidRDefault="007221E7"/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0A7A" w14:textId="77777777" w:rsidR="00000000" w:rsidRDefault="007221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Asimismo, el MIVAH valorará las acciones a realizar para las familias a quienes se les inhabilitaron sus viviendas por deslizamientos, con el fin de llevar la asistencia necesaria a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la población afectada. </w:t>
            </w:r>
          </w:p>
          <w:p w14:paraId="5D6EABF5" w14:textId="77777777" w:rsidR="00000000" w:rsidRDefault="007221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  <w:p w14:paraId="79C7B456" w14:textId="77777777" w:rsidR="00000000" w:rsidRDefault="007221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Posterior a las visitas en la zona, la CNE junto a las instituciones tendrá una reunión con el Comité Municipal de Emergencias de Golfito para analizar las acciones realizadas tras la afectación, así como las medidas que se ejecuta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rán para reestablecer con prontitud las condiciones básicas de la región.</w:t>
            </w:r>
          </w:p>
          <w:p w14:paraId="7D5E3B61" w14:textId="77777777" w:rsidR="00000000" w:rsidRDefault="007221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lastRenderedPageBreak/>
              <w:t xml:space="preserve">Según indicó Alexander Solís, presidente de la CNE, se continúa dando apoyo a las labores del Comité Municipal de Emergencias, así como la atención a las necesidades de la población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para reestablecer con prontitud las condiciones básicas de las familias.</w:t>
            </w:r>
          </w:p>
          <w:p w14:paraId="2318E70F" w14:textId="77777777" w:rsidR="00000000" w:rsidRDefault="007221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  <w:p w14:paraId="0D64F6CE" w14:textId="77777777" w:rsidR="00000000" w:rsidRDefault="007221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CR"/>
              </w:rPr>
              <w:t>Labores realizadas</w:t>
            </w:r>
          </w:p>
          <w:p w14:paraId="755CF3D5" w14:textId="77777777" w:rsidR="00000000" w:rsidRDefault="007221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s-CR"/>
              </w:rPr>
            </w:pPr>
          </w:p>
          <w:p w14:paraId="0A0318A9" w14:textId="77777777" w:rsidR="00000000" w:rsidRDefault="007221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La semana pasada estructuraron dos equipos de trabajo para ingresar a las comunidades de Bambel 3, Viquillas,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Kilometro 29 y kilómetro 30, que continuaron con la evaluación de riesgos en la zona.  </w:t>
            </w:r>
          </w:p>
          <w:p w14:paraId="33D5BCA0" w14:textId="77777777" w:rsidR="00000000" w:rsidRDefault="007221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  <w:p w14:paraId="29B20691" w14:textId="77777777" w:rsidR="00000000" w:rsidRDefault="007221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Asimismo, el MOPT trabajó en la rehabilitación de la ruta entre La Lucha y Lagarto y la CNE con la Municipalidad de Golfito coordinó la contratación de maquinaria para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la limpieza y apertura de otras vías en sectores aledaños al cantón. </w:t>
            </w:r>
          </w:p>
          <w:p w14:paraId="2DB2A43F" w14:textId="77777777" w:rsidR="00000000" w:rsidRDefault="007221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  <w:p w14:paraId="3953C7E0" w14:textId="77777777" w:rsidR="00000000" w:rsidRDefault="007221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Actualmente, el albergue temporal que se encontraba abierto en Río Claro está cerrado.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EAF" w14:textId="77777777" w:rsidR="00000000" w:rsidRDefault="007221E7"/>
        </w:tc>
      </w:tr>
    </w:tbl>
    <w:p w14:paraId="58345763" w14:textId="77777777" w:rsidR="00000000" w:rsidRDefault="007221E7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78A1"/>
    <w:multiLevelType w:val="multilevel"/>
    <w:tmpl w:val="01D4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BD5B9B"/>
    <w:multiLevelType w:val="hybridMultilevel"/>
    <w:tmpl w:val="2D06AC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270E5"/>
    <w:multiLevelType w:val="multilevel"/>
    <w:tmpl w:val="ABC4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6815B1"/>
    <w:multiLevelType w:val="multilevel"/>
    <w:tmpl w:val="A702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5654500">
    <w:abstractNumId w:val="2"/>
  </w:num>
  <w:num w:numId="2" w16cid:durableId="211041862">
    <w:abstractNumId w:val="1"/>
  </w:num>
  <w:num w:numId="3" w16cid:durableId="86949216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13920691">
    <w:abstractNumId w:val="3"/>
  </w:num>
  <w:num w:numId="5" w16cid:durableId="1565601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E7"/>
    <w:rsid w:val="0072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A3C38B3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uesto">
    <w:name w:val="Puesto"/>
    <w:basedOn w:val="Normal"/>
    <w:link w:val="PuestoCar"/>
  </w:style>
  <w:style w:type="character" w:customStyle="1" w:styleId="PuestoCar">
    <w:name w:val="Puesto Car"/>
    <w:basedOn w:val="Fuentedeprrafopredeter"/>
    <w:link w:val="Puesto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2022-05-13T17:24:00Z</dcterms:created>
  <dcterms:modified xsi:type="dcterms:W3CDTF">2022-05-13T17:24:00Z</dcterms:modified>
</cp:coreProperties>
</file>