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52"/>
        <w:gridCol w:w="6552"/>
        <w:gridCol w:w="222"/>
      </w:tblGrid>
      <w:tr w:rsidR="00000000" w14:paraId="3B833DA9" w14:textId="77777777"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C91A" w14:textId="77777777" w:rsidR="00000000" w:rsidRDefault="00F8616B">
            <w:pPr>
              <w:pStyle w:val="Ttulo1"/>
              <w:jc w:val="center"/>
            </w:pPr>
            <w:r>
              <w:t>Afectaciones por lluvias movilizaron a 85 personas a sitios seguros</w:t>
            </w:r>
          </w:p>
          <w:p w14:paraId="412CB034" w14:textId="77777777" w:rsidR="00000000" w:rsidRDefault="00F8616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283F957" wp14:editId="2C0169E8">
                  <wp:extent cx="4794885" cy="3697605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885" cy="369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098D9" w14:textId="77777777" w:rsidR="00000000" w:rsidRDefault="00F861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CNE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declaró Alerta Verde para el Pacifico Central, el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Pacifico Sur, y el Valle Central, así como Alerta Amarilla para todo el Pacífico Norte la Zona Norte y el cantón de Sarapiquí.  </w:t>
            </w:r>
          </w:p>
          <w:p w14:paraId="7CA4B47D" w14:textId="77777777" w:rsidR="00000000" w:rsidRDefault="00F861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2 815 personas vieron interrumpida su cotidianidad por las afectaciones que sufrieron por las lluvias.</w:t>
            </w:r>
          </w:p>
          <w:p w14:paraId="55AD22AF" w14:textId="77777777" w:rsidR="00000000" w:rsidRDefault="00F8616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CNE envío suministros v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arios como 310 diarios, 150 espumas, 150 cobijas y 10 pichingas de agua.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7667" w14:textId="77777777" w:rsidR="00000000" w:rsidRDefault="00F8616B"/>
        </w:tc>
      </w:tr>
      <w:tr w:rsidR="00000000" w14:paraId="5ADA71C3" w14:textId="77777777">
        <w:tc>
          <w:tcPr>
            <w:tcW w:w="8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5A21" w14:textId="77777777" w:rsidR="00000000" w:rsidRDefault="00F8616B">
            <w:r>
              <w:t>San José, 11 de septiembre del 2019. Fueron 85 las personas removidas hacia albergues temporales para salvaguardar su vida, luego de las lluvias que desde el pasado domingo provoca</w:t>
            </w:r>
            <w:r>
              <w:t>ron afectación en 36 cantones a lo largo del territorio nacional.</w:t>
            </w:r>
          </w:p>
          <w:p w14:paraId="444B86BE" w14:textId="77777777" w:rsidR="00000000" w:rsidRDefault="00F8616B">
            <w:r>
              <w:t>Un sistema de baja presión propició un fuerte aporte de humedad sobre el país lo que generó precipitaciones que provocaron 193 eventos principalmente en los cantones de Santa Cruz, Nicoya, H</w:t>
            </w:r>
            <w:r>
              <w:t>ojancha, Nandayure en Guanacaste, Cobano, Lepanto y Paquera específicamente en el cantón de Puntarenas, así como Paraíso y Orosí en Cartago.</w:t>
            </w:r>
          </w:p>
          <w:p w14:paraId="207D104D" w14:textId="77777777" w:rsidR="00000000" w:rsidRDefault="00F8616B">
            <w:r>
              <w:t>Debido a los incidentes provocados y a los informes del Instituto Meteorológico Nacional (IMN), la Comisión Naciona</w:t>
            </w:r>
            <w:r>
              <w:t xml:space="preserve">l de Prevención de Riesgos y Atención de Emergencias (CNE) declaró Alerta Verde para el Pacifico Central, el Pacifico Sur, y el Valle Central, así como Alerta Amarilla para todo el Pacífico Norte la Zona Norte y el cantón de Sarapiquí. </w:t>
            </w:r>
          </w:p>
          <w:p w14:paraId="78E71550" w14:textId="77777777" w:rsidR="00000000" w:rsidRDefault="00F8616B">
            <w:r>
              <w:t>Producto de este si</w:t>
            </w:r>
            <w:r>
              <w:t>stema de baja presión, 2 815 personas vieron interrumpida su cotidianidad por las afectaciones que sufrieron en sus viviendas, rutas por donde transitan, o por el deterioro de los sistema de agua en algunas de sus comunidades.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8DE" w14:textId="77777777" w:rsidR="00000000" w:rsidRDefault="00F8616B"/>
        </w:tc>
      </w:tr>
      <w:tr w:rsidR="00000000" w14:paraId="22E05F73" w14:textId="77777777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1C03" w14:textId="77777777" w:rsidR="00000000" w:rsidRDefault="00F8616B">
            <w:r>
              <w:lastRenderedPageBreak/>
              <w:t xml:space="preserve">En virtud de esto, la CNE envío suministros varios como 310 diarios, 150 espumas, 150 cobijas y 10 pichingas de agua, para suprimir las necesidades básicas de la población afectada en zonas como Desamparados, Santa Cruz, Nocoya, Lepanto, Cóbano y Paquera. </w:t>
            </w:r>
            <w:r>
              <w:t xml:space="preserve"> </w:t>
            </w:r>
          </w:p>
          <w:p w14:paraId="217E4E39" w14:textId="77777777" w:rsidR="00000000" w:rsidRDefault="00F8616B">
            <w:r>
              <w:t>Hasta el momento las lluvias provocaron 103 inundaciones, 26 deslizamientos, 39 solicitudes de inspección, tres reportes por fuertes vientos y así como 22 eventos varios que se gestionaron para coordinar con otras instituciones.</w:t>
            </w:r>
          </w:p>
          <w:p w14:paraId="058B9DDA" w14:textId="77777777" w:rsidR="00000000" w:rsidRDefault="00F8616B">
            <w:pPr>
              <w:rPr>
                <w:b/>
              </w:rPr>
            </w:pPr>
            <w:r>
              <w:rPr>
                <w:b/>
              </w:rPr>
              <w:t>Acciones CNE</w:t>
            </w:r>
          </w:p>
          <w:p w14:paraId="58337010" w14:textId="77777777" w:rsidR="00000000" w:rsidRDefault="00F8616B">
            <w:r>
              <w:t>Por medio de</w:t>
            </w:r>
            <w:r>
              <w:t xml:space="preserve"> la red de comunicaciones de la CNE, se realizó un </w:t>
            </w:r>
            <w:r>
              <w:lastRenderedPageBreak/>
              <w:t>constante monitoreo de las amenazas como ríos, quebradas, acequias y deslizamientos que podían estar latentes en las comunidades afectadas, principalmente por la saturación que se presentaba en suelos y rí</w:t>
            </w:r>
            <w:r>
              <w:t>os.</w:t>
            </w:r>
          </w:p>
          <w:p w14:paraId="485EF4AC" w14:textId="77777777" w:rsidR="00000000" w:rsidRDefault="00F8616B">
            <w:r>
              <w:t>Asimismo, se activaron los Comités Municipales de Emergencias en los cantones afectados, y se realizaron las debidas inspecciones de campo por el personal técnico de las instituciones.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42AC" w14:textId="77777777" w:rsidR="00000000" w:rsidRDefault="00F8616B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4D48A0F4" wp14:editId="765388E7">
                  <wp:extent cx="4023360" cy="5327650"/>
                  <wp:effectExtent l="0" t="0" r="0" b="635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532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B8AC" w14:textId="77777777" w:rsidR="00000000" w:rsidRDefault="00F8616B"/>
        </w:tc>
      </w:tr>
    </w:tbl>
    <w:p w14:paraId="14BA84C3" w14:textId="77777777" w:rsidR="00000000" w:rsidRDefault="00F8616B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0472A"/>
    <w:multiLevelType w:val="hybridMultilevel"/>
    <w:tmpl w:val="AE604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371414">
    <w:abstractNumId w:val="0"/>
  </w:num>
  <w:num w:numId="2" w16cid:durableId="10694203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6B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7A766D2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2022-05-13T17:23:00Z</dcterms:created>
  <dcterms:modified xsi:type="dcterms:W3CDTF">2022-05-13T17:23:00Z</dcterms:modified>
</cp:coreProperties>
</file>