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430" w:type="dxa"/>
        <w:tblInd w:w="-856" w:type="dxa"/>
        <w:tblLook w:val="04A0" w:firstRow="1" w:lastRow="0" w:firstColumn="1" w:lastColumn="0" w:noHBand="0" w:noVBand="1"/>
      </w:tblPr>
      <w:tblGrid>
        <w:gridCol w:w="222"/>
        <w:gridCol w:w="2138"/>
        <w:gridCol w:w="7848"/>
        <w:gridCol w:w="222"/>
      </w:tblGrid>
      <w:tr w:rsidR="00000000" w14:paraId="4A47933D" w14:textId="77777777">
        <w:tc>
          <w:tcPr>
            <w:tcW w:w="222" w:type="dxa"/>
            <w:tcBorders>
              <w:top w:val="single" w:sz="4" w:space="0" w:color="auto"/>
              <w:left w:val="single" w:sz="4" w:space="0" w:color="auto"/>
              <w:bottom w:val="single" w:sz="4" w:space="0" w:color="auto"/>
              <w:right w:val="single" w:sz="4" w:space="0" w:color="auto"/>
            </w:tcBorders>
          </w:tcPr>
          <w:p w14:paraId="3DF548DB" w14:textId="77777777" w:rsidR="00000000" w:rsidRDefault="00EC75AA">
            <w:pPr>
              <w:spacing w:after="0" w:line="240" w:lineRule="auto"/>
              <w:rPr>
                <w:rFonts w:ascii="Arial" w:hAnsi="Arial" w:cs="Arial"/>
                <w:lang w:val="es-ES"/>
              </w:rPr>
            </w:pPr>
          </w:p>
        </w:tc>
        <w:tc>
          <w:tcPr>
            <w:tcW w:w="9986" w:type="dxa"/>
            <w:gridSpan w:val="2"/>
            <w:tcBorders>
              <w:top w:val="single" w:sz="4" w:space="0" w:color="auto"/>
              <w:left w:val="single" w:sz="4" w:space="0" w:color="auto"/>
              <w:bottom w:val="single" w:sz="4" w:space="0" w:color="auto"/>
              <w:right w:val="single" w:sz="4" w:space="0" w:color="auto"/>
            </w:tcBorders>
          </w:tcPr>
          <w:p w14:paraId="05F8D799" w14:textId="77777777" w:rsidR="00000000" w:rsidRDefault="00EC75AA">
            <w:pPr>
              <w:pStyle w:val="Ttulo1"/>
              <w:spacing w:line="240" w:lineRule="auto"/>
              <w:jc w:val="center"/>
              <w:rPr>
                <w:rFonts w:ascii="Arial" w:hAnsi="Arial" w:cs="Arial"/>
                <w:sz w:val="22"/>
                <w:szCs w:val="22"/>
                <w:lang w:val="es-ES"/>
              </w:rPr>
            </w:pPr>
            <w:r>
              <w:rPr>
                <w:rFonts w:ascii="Arial" w:hAnsi="Arial" w:cs="Arial"/>
                <w:sz w:val="22"/>
                <w:szCs w:val="22"/>
                <w:lang w:val="es-ES"/>
              </w:rPr>
              <w:t>CNE beneficia Zona Sur con inversión de más de 13.600 millones de colones</w:t>
            </w:r>
          </w:p>
          <w:p w14:paraId="3673BA7C" w14:textId="77777777" w:rsidR="00000000" w:rsidRDefault="00EC75AA">
            <w:pPr>
              <w:spacing w:line="240" w:lineRule="auto"/>
              <w:jc w:val="center"/>
              <w:rPr>
                <w:rFonts w:ascii="Arial" w:hAnsi="Arial" w:cs="Arial"/>
                <w:b/>
                <w:lang w:val="es-ES"/>
              </w:rPr>
            </w:pPr>
            <w:r>
              <w:rPr>
                <w:rFonts w:ascii="Arial" w:hAnsi="Arial" w:cs="Arial"/>
                <w:b/>
                <w:noProof/>
                <w:lang w:val="es-ES" w:eastAsia="es-ES"/>
              </w:rPr>
              <w:drawing>
                <wp:inline distT="0" distB="0" distL="0" distR="0" wp14:anchorId="734A59D9" wp14:editId="0665C702">
                  <wp:extent cx="5581650" cy="4190365"/>
                  <wp:effectExtent l="0" t="0" r="0" b="63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1650" cy="4190365"/>
                          </a:xfrm>
                          <a:prstGeom prst="rect">
                            <a:avLst/>
                          </a:prstGeom>
                          <a:noFill/>
                          <a:ln>
                            <a:noFill/>
                          </a:ln>
                        </pic:spPr>
                      </pic:pic>
                    </a:graphicData>
                  </a:graphic>
                </wp:inline>
              </w:drawing>
            </w:r>
          </w:p>
          <w:p w14:paraId="10C5FFD7" w14:textId="77777777" w:rsidR="00000000" w:rsidRDefault="00EC75AA">
            <w:pPr>
              <w:pStyle w:val="Prrafodelista"/>
              <w:numPr>
                <w:ilvl w:val="0"/>
                <w:numId w:val="2"/>
              </w:numPr>
              <w:spacing w:after="0" w:line="240" w:lineRule="auto"/>
              <w:rPr>
                <w:rFonts w:ascii="Arial" w:hAnsi="Arial" w:cs="Arial"/>
                <w:lang w:val="es-ES"/>
              </w:rPr>
            </w:pPr>
            <w:r>
              <w:rPr>
                <w:rFonts w:ascii="Arial" w:hAnsi="Arial" w:cs="Arial"/>
                <w:lang w:val="es-ES"/>
              </w:rPr>
              <w:t xml:space="preserve">Importante inversión pública destinada a la rehabilitación y reconstrucción de 31 proyectos. </w:t>
            </w:r>
          </w:p>
          <w:p w14:paraId="16F497F3" w14:textId="77777777" w:rsidR="00000000" w:rsidRDefault="00EC75AA">
            <w:pPr>
              <w:pStyle w:val="Prrafodelista"/>
              <w:numPr>
                <w:ilvl w:val="0"/>
                <w:numId w:val="2"/>
              </w:numPr>
              <w:spacing w:after="0" w:line="240" w:lineRule="auto"/>
              <w:rPr>
                <w:rFonts w:ascii="Arial" w:hAnsi="Arial" w:cs="Arial"/>
                <w:lang w:val="es-ES"/>
              </w:rPr>
            </w:pPr>
            <w:r>
              <w:rPr>
                <w:rFonts w:ascii="Arial" w:hAnsi="Arial" w:cs="Arial"/>
                <w:lang w:val="es-ES"/>
              </w:rPr>
              <w:t>Las obras fueron afectadas tras el paso de la tormenta tropical Nate y el Huracán Otto</w:t>
            </w:r>
          </w:p>
          <w:p w14:paraId="40760BA3" w14:textId="77777777" w:rsidR="00000000" w:rsidRDefault="00EC75AA">
            <w:pPr>
              <w:pStyle w:val="Prrafodelista"/>
              <w:numPr>
                <w:ilvl w:val="0"/>
                <w:numId w:val="2"/>
              </w:numPr>
              <w:spacing w:after="0" w:line="240" w:lineRule="auto"/>
              <w:rPr>
                <w:rFonts w:ascii="Arial" w:hAnsi="Arial" w:cs="Arial"/>
                <w:lang w:val="es-ES"/>
              </w:rPr>
            </w:pPr>
            <w:r>
              <w:rPr>
                <w:rFonts w:ascii="Arial" w:hAnsi="Arial" w:cs="Arial"/>
                <w:lang w:val="es-ES"/>
              </w:rPr>
              <w:t xml:space="preserve">Destaca un total de 11 puentes y 10 caminos que permiten el desarrollo de las comunidades </w:t>
            </w:r>
          </w:p>
          <w:p w14:paraId="0BA93533" w14:textId="77777777" w:rsidR="00000000" w:rsidRDefault="00EC75AA">
            <w:pPr>
              <w:spacing w:after="0" w:line="240" w:lineRule="auto"/>
              <w:rPr>
                <w:rFonts w:ascii="Arial" w:hAnsi="Arial" w:cs="Arial"/>
                <w:lang w:val="es-ES"/>
              </w:rPr>
            </w:pPr>
          </w:p>
          <w:p w14:paraId="756A95DA" w14:textId="77777777" w:rsidR="00000000" w:rsidRDefault="00EC75AA">
            <w:pPr>
              <w:spacing w:line="240" w:lineRule="auto"/>
              <w:rPr>
                <w:rFonts w:ascii="Arial" w:hAnsi="Arial" w:cs="Arial"/>
                <w:lang w:val="es-ES"/>
              </w:rPr>
            </w:pPr>
            <w:r>
              <w:rPr>
                <w:rFonts w:ascii="Arial" w:hAnsi="Arial" w:cs="Arial"/>
                <w:b/>
                <w:i/>
                <w:lang w:val="es-ES"/>
              </w:rPr>
              <w:t>San José, 22 de agosto del 2019.</w:t>
            </w:r>
            <w:r>
              <w:rPr>
                <w:rFonts w:ascii="Arial" w:hAnsi="Arial" w:cs="Arial"/>
                <w:lang w:val="es-ES"/>
              </w:rPr>
              <w:t xml:space="preserve">  La Comisión Nacional de Prevención de Riesg</w:t>
            </w:r>
            <w:r>
              <w:rPr>
                <w:rFonts w:ascii="Arial" w:hAnsi="Arial" w:cs="Arial"/>
                <w:lang w:val="es-ES"/>
              </w:rPr>
              <w:t>os y Atención de Emergencias realiza una millonaria inversión en obra pública en la Zona Sur que supera los ¢13.600 millones de colones destinados para la reconstrucción de caminos y estudios técnicos, diseño y construcción de puentes vehiculares y peatona</w:t>
            </w:r>
            <w:r>
              <w:rPr>
                <w:rFonts w:ascii="Arial" w:hAnsi="Arial" w:cs="Arial"/>
                <w:lang w:val="es-ES"/>
              </w:rPr>
              <w:t>les así como diques y la limpieza, canalización y apilamiento de material, entre otros.</w:t>
            </w:r>
          </w:p>
          <w:p w14:paraId="1503D278" w14:textId="77777777" w:rsidR="00000000" w:rsidRDefault="00EC75AA">
            <w:pPr>
              <w:spacing w:line="240" w:lineRule="auto"/>
              <w:rPr>
                <w:rFonts w:ascii="Arial" w:hAnsi="Arial" w:cs="Arial"/>
                <w:lang w:val="es-ES"/>
              </w:rPr>
            </w:pPr>
            <w:r>
              <w:rPr>
                <w:rFonts w:ascii="Arial" w:hAnsi="Arial" w:cs="Arial"/>
                <w:lang w:val="es-ES"/>
              </w:rPr>
              <w:t>En total son 31 obras en las que la CNE trabaja en coordinación con las  municipalidades de los cantones de Buenos Aires, Corredores, Coto Brus, Golfito, Osa y Pérez Ze</w:t>
            </w:r>
            <w:r>
              <w:rPr>
                <w:rFonts w:ascii="Arial" w:hAnsi="Arial" w:cs="Arial"/>
                <w:lang w:val="es-ES"/>
              </w:rPr>
              <w:t>ledón.   Ocho obras se están ejecutándose en este momento y las restantes 23 obras están en proceso de contratación y serán ejecutadas  durante este y el próximo año.</w:t>
            </w:r>
          </w:p>
          <w:p w14:paraId="4EAE0C40" w14:textId="77777777" w:rsidR="00000000" w:rsidRDefault="00EC75AA">
            <w:pPr>
              <w:spacing w:after="0" w:line="240" w:lineRule="auto"/>
              <w:rPr>
                <w:rFonts w:ascii="Arial" w:hAnsi="Arial" w:cs="Arial"/>
                <w:lang w:val="es-ES"/>
              </w:rPr>
            </w:pPr>
            <w:r>
              <w:rPr>
                <w:rFonts w:ascii="Arial" w:hAnsi="Arial" w:cs="Arial"/>
                <w:lang w:val="es-ES"/>
              </w:rPr>
              <w:t>Se trabaja en la reconstrucción de 11 puentes que incluyen los estudios técnicos prelimin</w:t>
            </w:r>
            <w:r>
              <w:rPr>
                <w:rFonts w:ascii="Arial" w:hAnsi="Arial" w:cs="Arial"/>
                <w:lang w:val="es-ES"/>
              </w:rPr>
              <w:t xml:space="preserve">ares para su diseño y construcción.  Además, la rehabilitación de 10 carreteras, dos obras de reconstrucción de estructuras de paso, así como dos obras de protección.  Además, incluyen 6 estudios de las obras.   </w:t>
            </w:r>
          </w:p>
          <w:p w14:paraId="0618D81B" w14:textId="77777777" w:rsidR="00000000" w:rsidRDefault="00EC75AA">
            <w:pPr>
              <w:spacing w:after="0" w:line="240" w:lineRule="auto"/>
              <w:rPr>
                <w:rFonts w:ascii="Arial" w:hAnsi="Arial" w:cs="Arial"/>
                <w:lang w:val="es-ES"/>
              </w:rPr>
            </w:pPr>
          </w:p>
          <w:p w14:paraId="02274A05" w14:textId="77777777" w:rsidR="00000000" w:rsidRDefault="00EC75AA">
            <w:pPr>
              <w:spacing w:after="0" w:line="240" w:lineRule="auto"/>
              <w:rPr>
                <w:rFonts w:ascii="Arial" w:hAnsi="Arial" w:cs="Arial"/>
                <w:lang w:val="es-ES"/>
              </w:rPr>
            </w:pPr>
            <w:r>
              <w:rPr>
                <w:rFonts w:ascii="Arial" w:hAnsi="Arial" w:cs="Arial"/>
                <w:lang w:val="es-ES"/>
              </w:rPr>
              <w:t>El  presidente de la CNE, Alexander Solís,</w:t>
            </w:r>
            <w:r>
              <w:rPr>
                <w:rFonts w:ascii="Arial" w:hAnsi="Arial" w:cs="Arial"/>
                <w:lang w:val="es-ES"/>
              </w:rPr>
              <w:t xml:space="preserve"> indicó que la zona sur es una prioridad para la CNE por las múltiples afectaciones que sufrieron comunidades de distintos puntos de esta región debido a los dos eventos hidrometeorológicos más fuertes que ha sufrido nuestro país en los últimos años.</w:t>
            </w:r>
          </w:p>
          <w:p w14:paraId="384F5CDC" w14:textId="77777777" w:rsidR="00000000" w:rsidRDefault="00EC75AA">
            <w:pPr>
              <w:spacing w:after="0" w:line="240" w:lineRule="auto"/>
              <w:rPr>
                <w:rFonts w:ascii="Arial" w:hAnsi="Arial" w:cs="Arial"/>
                <w:lang w:val="es-ES"/>
              </w:rPr>
            </w:pPr>
          </w:p>
          <w:p w14:paraId="57AA42DB" w14:textId="77777777" w:rsidR="00000000" w:rsidRDefault="00EC75AA">
            <w:pPr>
              <w:spacing w:after="0" w:line="240" w:lineRule="auto"/>
              <w:rPr>
                <w:rFonts w:ascii="Arial" w:hAnsi="Arial" w:cs="Arial"/>
                <w:lang w:val="es-ES"/>
              </w:rPr>
            </w:pPr>
            <w:r>
              <w:rPr>
                <w:rFonts w:ascii="Arial" w:hAnsi="Arial" w:cs="Arial"/>
                <w:lang w:val="es-ES"/>
              </w:rPr>
              <w:t>Adem</w:t>
            </w:r>
            <w:r>
              <w:rPr>
                <w:rFonts w:ascii="Arial" w:hAnsi="Arial" w:cs="Arial"/>
                <w:lang w:val="es-ES"/>
              </w:rPr>
              <w:t>ás, Solís resaltó que se trabaja en la protección de la infraestructura pública con  excelentes estándares de calidad ante los  eventos de desastres, esto con el fin de evitar que se reproduzca la vulnerabilidad en las comunidades y  que en la próxima emer</w:t>
            </w:r>
            <w:r>
              <w:rPr>
                <w:rFonts w:ascii="Arial" w:hAnsi="Arial" w:cs="Arial"/>
                <w:lang w:val="es-ES"/>
              </w:rPr>
              <w:t xml:space="preserve">gencia, las obras se vean afectadas. </w:t>
            </w:r>
          </w:p>
          <w:p w14:paraId="39D3C1B9" w14:textId="77777777" w:rsidR="00000000" w:rsidRDefault="00EC75AA">
            <w:pPr>
              <w:spacing w:after="0" w:line="240" w:lineRule="auto"/>
              <w:rPr>
                <w:rFonts w:ascii="Arial" w:hAnsi="Arial" w:cs="Arial"/>
                <w:lang w:val="es-ES"/>
              </w:rPr>
            </w:pPr>
          </w:p>
          <w:p w14:paraId="0BBB9AD8" w14:textId="77777777" w:rsidR="00000000" w:rsidRDefault="00EC75AA">
            <w:pPr>
              <w:spacing w:after="0" w:line="240" w:lineRule="auto"/>
              <w:rPr>
                <w:rFonts w:ascii="Arial" w:hAnsi="Arial" w:cs="Arial"/>
                <w:b/>
                <w:lang w:val="es-ES"/>
              </w:rPr>
            </w:pPr>
            <w:r>
              <w:rPr>
                <w:rFonts w:ascii="Arial" w:hAnsi="Arial" w:cs="Arial"/>
                <w:b/>
                <w:lang w:val="es-ES"/>
              </w:rPr>
              <w:t>Obras importantes</w:t>
            </w:r>
          </w:p>
        </w:tc>
        <w:tc>
          <w:tcPr>
            <w:tcW w:w="222" w:type="dxa"/>
            <w:tcBorders>
              <w:top w:val="single" w:sz="4" w:space="0" w:color="auto"/>
              <w:left w:val="single" w:sz="4" w:space="0" w:color="auto"/>
              <w:bottom w:val="single" w:sz="4" w:space="0" w:color="auto"/>
              <w:right w:val="single" w:sz="4" w:space="0" w:color="auto"/>
            </w:tcBorders>
          </w:tcPr>
          <w:p w14:paraId="373012A2" w14:textId="77777777" w:rsidR="00000000" w:rsidRDefault="00EC75AA">
            <w:pPr>
              <w:spacing w:after="0" w:line="240" w:lineRule="auto"/>
              <w:rPr>
                <w:rFonts w:ascii="Arial" w:hAnsi="Arial" w:cs="Arial"/>
                <w:lang w:val="es-ES"/>
              </w:rPr>
            </w:pPr>
          </w:p>
        </w:tc>
      </w:tr>
      <w:tr w:rsidR="00000000" w14:paraId="7AD35FFE" w14:textId="77777777">
        <w:tc>
          <w:tcPr>
            <w:tcW w:w="222" w:type="dxa"/>
            <w:tcBorders>
              <w:top w:val="single" w:sz="4" w:space="0" w:color="auto"/>
              <w:left w:val="single" w:sz="4" w:space="0" w:color="auto"/>
              <w:bottom w:val="single" w:sz="4" w:space="0" w:color="auto"/>
              <w:right w:val="single" w:sz="4" w:space="0" w:color="auto"/>
            </w:tcBorders>
          </w:tcPr>
          <w:p w14:paraId="36E86274" w14:textId="77777777" w:rsidR="00000000" w:rsidRDefault="00EC75AA">
            <w:pPr>
              <w:spacing w:after="0" w:line="240" w:lineRule="auto"/>
              <w:rPr>
                <w:rFonts w:ascii="Arial" w:hAnsi="Arial" w:cs="Arial"/>
                <w:lang w:val="es-ES"/>
              </w:rPr>
            </w:pPr>
          </w:p>
        </w:tc>
        <w:tc>
          <w:tcPr>
            <w:tcW w:w="2138" w:type="dxa"/>
            <w:tcBorders>
              <w:top w:val="single" w:sz="4" w:space="0" w:color="auto"/>
              <w:left w:val="single" w:sz="4" w:space="0" w:color="auto"/>
              <w:bottom w:val="single" w:sz="4" w:space="0" w:color="auto"/>
              <w:right w:val="single" w:sz="4" w:space="0" w:color="auto"/>
            </w:tcBorders>
          </w:tcPr>
          <w:p w14:paraId="0C15C713" w14:textId="77777777" w:rsidR="00000000" w:rsidRDefault="00EC75AA">
            <w:pPr>
              <w:spacing w:after="0" w:line="240" w:lineRule="auto"/>
              <w:rPr>
                <w:rFonts w:ascii="Arial" w:hAnsi="Arial" w:cs="Arial"/>
                <w:lang w:val="es-ES"/>
              </w:rPr>
            </w:pPr>
            <w:r>
              <w:rPr>
                <w:rFonts w:ascii="Arial" w:hAnsi="Arial" w:cs="Arial"/>
                <w:lang w:val="es-ES"/>
              </w:rPr>
              <w:t xml:space="preserve">Actualmente se realizan los diseños de aulas, baterías sanitarias y obras </w:t>
            </w:r>
            <w:r>
              <w:rPr>
                <w:rFonts w:ascii="Arial" w:hAnsi="Arial" w:cs="Arial"/>
                <w:lang w:val="es-ES"/>
              </w:rPr>
              <w:t xml:space="preserve">complementarias de la Escuela Bahía Chal ubicada en la comunidad de Sierpe, en Osa, Puntarenas, donde se beneficiarían aproximadamente 60 Niños y niñas. </w:t>
            </w:r>
          </w:p>
          <w:p w14:paraId="3A82C998" w14:textId="77777777" w:rsidR="00000000" w:rsidRDefault="00EC75AA">
            <w:pPr>
              <w:spacing w:after="0" w:line="240" w:lineRule="auto"/>
              <w:rPr>
                <w:rFonts w:ascii="Arial" w:hAnsi="Arial" w:cs="Arial"/>
                <w:lang w:val="es-ES"/>
              </w:rPr>
            </w:pPr>
          </w:p>
          <w:p w14:paraId="467C8DB5" w14:textId="77777777" w:rsidR="00000000" w:rsidRDefault="00EC75AA">
            <w:pPr>
              <w:spacing w:after="0" w:line="240" w:lineRule="auto"/>
              <w:rPr>
                <w:rFonts w:ascii="Arial" w:hAnsi="Arial" w:cs="Arial"/>
                <w:lang w:val="es-ES"/>
              </w:rPr>
            </w:pPr>
            <w:r>
              <w:rPr>
                <w:rFonts w:ascii="Arial" w:hAnsi="Arial" w:cs="Arial"/>
                <w:lang w:val="es-ES"/>
              </w:rPr>
              <w:t>Asimismo, los vecinos del distrito de El General contarán con la construcción del puente sobre el Río</w:t>
            </w:r>
            <w:r>
              <w:rPr>
                <w:rFonts w:ascii="Arial" w:hAnsi="Arial" w:cs="Arial"/>
                <w:lang w:val="es-ES"/>
              </w:rPr>
              <w:t xml:space="preserve"> General Viejo, el cual tendrá un costo de más de </w:t>
            </w:r>
            <w:r>
              <w:rPr>
                <w:rFonts w:ascii="Arial" w:hAnsi="Arial" w:cs="Arial"/>
                <w:lang w:val="es-ES"/>
              </w:rPr>
              <w:t>₡</w:t>
            </w:r>
            <w:r>
              <w:rPr>
                <w:rFonts w:ascii="Arial" w:hAnsi="Arial" w:cs="Arial"/>
                <w:lang w:val="es-ES"/>
              </w:rPr>
              <w:t xml:space="preserve">3.800 millones.  La CNE aportará el dinero y la obra será construida por el Consejo Nacional de Vialidad (CONAVI). </w:t>
            </w:r>
          </w:p>
        </w:tc>
        <w:tc>
          <w:tcPr>
            <w:tcW w:w="7848" w:type="dxa"/>
            <w:tcBorders>
              <w:top w:val="single" w:sz="4" w:space="0" w:color="auto"/>
              <w:left w:val="single" w:sz="4" w:space="0" w:color="auto"/>
              <w:bottom w:val="single" w:sz="4" w:space="0" w:color="auto"/>
              <w:right w:val="single" w:sz="4" w:space="0" w:color="auto"/>
            </w:tcBorders>
            <w:hideMark/>
          </w:tcPr>
          <w:p w14:paraId="33552927" w14:textId="77777777" w:rsidR="00000000" w:rsidRDefault="00EC75AA">
            <w:pPr>
              <w:spacing w:after="0" w:line="240" w:lineRule="auto"/>
              <w:rPr>
                <w:rFonts w:ascii="Arial" w:hAnsi="Arial" w:cs="Arial"/>
                <w:lang w:val="es-ES"/>
              </w:rPr>
            </w:pPr>
            <w:r>
              <w:rPr>
                <w:noProof/>
                <w:lang w:val="es-ES"/>
              </w:rPr>
              <w:drawing>
                <wp:anchor distT="0" distB="0" distL="114300" distR="114300" simplePos="0" relativeHeight="251659264" behindDoc="0" locked="0" layoutInCell="1" allowOverlap="1" wp14:anchorId="09903DDE" wp14:editId="7DA23294">
                  <wp:simplePos x="0" y="0"/>
                  <wp:positionH relativeFrom="column">
                    <wp:posOffset>-65405</wp:posOffset>
                  </wp:positionH>
                  <wp:positionV relativeFrom="paragraph">
                    <wp:posOffset>179705</wp:posOffset>
                  </wp:positionV>
                  <wp:extent cx="4846320" cy="2710815"/>
                  <wp:effectExtent l="0" t="0" r="0" b="0"/>
                  <wp:wrapThrough wrapText="bothSides">
                    <wp:wrapPolygon edited="0">
                      <wp:start x="0" y="0"/>
                      <wp:lineTo x="0" y="21403"/>
                      <wp:lineTo x="21481" y="21403"/>
                      <wp:lineTo x="2148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6320" cy="2710815"/>
                          </a:xfrm>
                          <a:prstGeom prst="rect">
                            <a:avLst/>
                          </a:prstGeom>
                          <a:noFill/>
                        </pic:spPr>
                      </pic:pic>
                    </a:graphicData>
                  </a:graphic>
                  <wp14:sizeRelH relativeFrom="page">
                    <wp14:pctWidth>0</wp14:pctWidth>
                  </wp14:sizeRelH>
                  <wp14:sizeRelV relativeFrom="page">
                    <wp14:pctHeight>0</wp14:pctHeight>
                  </wp14:sizeRelV>
                </wp:anchor>
              </w:drawing>
            </w:r>
          </w:p>
        </w:tc>
        <w:tc>
          <w:tcPr>
            <w:tcW w:w="222" w:type="dxa"/>
            <w:tcBorders>
              <w:top w:val="single" w:sz="4" w:space="0" w:color="auto"/>
              <w:left w:val="single" w:sz="4" w:space="0" w:color="auto"/>
              <w:bottom w:val="single" w:sz="4" w:space="0" w:color="auto"/>
              <w:right w:val="single" w:sz="4" w:space="0" w:color="auto"/>
            </w:tcBorders>
          </w:tcPr>
          <w:p w14:paraId="6518932F" w14:textId="77777777" w:rsidR="00000000" w:rsidRDefault="00EC75AA">
            <w:pPr>
              <w:spacing w:after="0" w:line="240" w:lineRule="auto"/>
              <w:rPr>
                <w:rFonts w:ascii="Arial" w:hAnsi="Arial" w:cs="Arial"/>
                <w:lang w:val="es-ES"/>
              </w:rPr>
            </w:pPr>
          </w:p>
        </w:tc>
      </w:tr>
      <w:tr w:rsidR="00000000" w14:paraId="262517FB" w14:textId="77777777">
        <w:tc>
          <w:tcPr>
            <w:tcW w:w="222" w:type="dxa"/>
            <w:tcBorders>
              <w:top w:val="single" w:sz="4" w:space="0" w:color="auto"/>
              <w:left w:val="single" w:sz="4" w:space="0" w:color="auto"/>
              <w:bottom w:val="single" w:sz="4" w:space="0" w:color="auto"/>
              <w:right w:val="single" w:sz="4" w:space="0" w:color="auto"/>
            </w:tcBorders>
          </w:tcPr>
          <w:p w14:paraId="1A167F06" w14:textId="77777777" w:rsidR="00000000" w:rsidRDefault="00EC75AA">
            <w:pPr>
              <w:spacing w:after="0" w:line="240" w:lineRule="auto"/>
              <w:rPr>
                <w:rFonts w:ascii="Arial" w:hAnsi="Arial" w:cs="Arial"/>
                <w:lang w:val="es-ES"/>
              </w:rPr>
            </w:pPr>
          </w:p>
        </w:tc>
        <w:tc>
          <w:tcPr>
            <w:tcW w:w="9986" w:type="dxa"/>
            <w:gridSpan w:val="2"/>
            <w:tcBorders>
              <w:top w:val="single" w:sz="4" w:space="0" w:color="auto"/>
              <w:left w:val="single" w:sz="4" w:space="0" w:color="auto"/>
              <w:bottom w:val="single" w:sz="4" w:space="0" w:color="auto"/>
              <w:right w:val="single" w:sz="4" w:space="0" w:color="auto"/>
            </w:tcBorders>
          </w:tcPr>
          <w:p w14:paraId="6C13C472" w14:textId="77777777" w:rsidR="00000000" w:rsidRDefault="00EC75AA">
            <w:pPr>
              <w:spacing w:line="240" w:lineRule="auto"/>
              <w:rPr>
                <w:rFonts w:ascii="Arial" w:hAnsi="Arial" w:cs="Arial"/>
                <w:lang w:val="es-ES"/>
              </w:rPr>
            </w:pPr>
          </w:p>
          <w:p w14:paraId="4D643D41" w14:textId="77777777" w:rsidR="00000000" w:rsidRDefault="00EC75AA">
            <w:pPr>
              <w:spacing w:line="240" w:lineRule="auto"/>
              <w:rPr>
                <w:rFonts w:ascii="Arial" w:hAnsi="Arial" w:cs="Arial"/>
                <w:lang w:val="es-ES"/>
              </w:rPr>
            </w:pPr>
            <w:r>
              <w:rPr>
                <w:rFonts w:ascii="Arial" w:hAnsi="Arial" w:cs="Arial"/>
                <w:lang w:val="es-ES"/>
              </w:rPr>
              <w:t xml:space="preserve">Dio inicio la etapa de diseño y construcción del puente vehicular de un carril con </w:t>
            </w:r>
            <w:r>
              <w:rPr>
                <w:rFonts w:ascii="Arial" w:hAnsi="Arial" w:cs="Arial"/>
                <w:lang w:val="es-ES"/>
              </w:rPr>
              <w:t>paso peatonal adosado sobre el río Cañas, en la comunidad de Santa Rosa del distrito Brunca de Buenos Aires.</w:t>
            </w:r>
          </w:p>
          <w:p w14:paraId="198EB990" w14:textId="77777777" w:rsidR="00000000" w:rsidRDefault="00EC75AA">
            <w:pPr>
              <w:spacing w:line="240" w:lineRule="auto"/>
              <w:rPr>
                <w:rFonts w:ascii="Arial" w:hAnsi="Arial" w:cs="Arial"/>
                <w:lang w:val="es-ES"/>
              </w:rPr>
            </w:pPr>
            <w:r>
              <w:rPr>
                <w:rFonts w:ascii="Arial" w:hAnsi="Arial" w:cs="Arial"/>
                <w:lang w:val="es-ES"/>
              </w:rPr>
              <w:t xml:space="preserve">Con el fin de proteger a las comunidades de este invierno, la CNE realizó la limpieza, canalización y apilamiento de material  en el dique del río </w:t>
            </w:r>
            <w:r>
              <w:rPr>
                <w:rFonts w:ascii="Arial" w:hAnsi="Arial" w:cs="Arial"/>
                <w:lang w:val="es-ES"/>
              </w:rPr>
              <w:t xml:space="preserve">Térraba, en la margen izquierda del río Grande de Térraba, aguas abajo del puente de la Ruta Nacional N°2 (Interamericana Sur) con un monto de </w:t>
            </w:r>
            <w:r>
              <w:rPr>
                <w:rFonts w:ascii="Arial" w:hAnsi="Arial" w:cs="Arial"/>
                <w:lang w:val="es-ES"/>
              </w:rPr>
              <w:t>₡</w:t>
            </w:r>
            <w:r>
              <w:rPr>
                <w:rFonts w:ascii="Arial" w:hAnsi="Arial" w:cs="Arial"/>
                <w:lang w:val="es-ES"/>
              </w:rPr>
              <w:t xml:space="preserve"> 335 millones .  </w:t>
            </w:r>
          </w:p>
          <w:p w14:paraId="13717FB7" w14:textId="77777777" w:rsidR="00000000" w:rsidRDefault="00EC75AA">
            <w:pPr>
              <w:spacing w:after="0" w:line="240" w:lineRule="auto"/>
              <w:rPr>
                <w:rFonts w:ascii="Arial" w:hAnsi="Arial" w:cs="Arial"/>
                <w:lang w:val="es-ES"/>
              </w:rPr>
            </w:pPr>
            <w:r>
              <w:rPr>
                <w:rFonts w:ascii="Arial" w:hAnsi="Arial" w:cs="Arial"/>
                <w:lang w:val="es-ES"/>
              </w:rPr>
              <w:t>Los vecinos de Limoncito y Pittier cuentan con un nuevo puente vehicular con paso peatonal sob</w:t>
            </w:r>
            <w:r>
              <w:rPr>
                <w:rFonts w:ascii="Arial" w:hAnsi="Arial" w:cs="Arial"/>
                <w:lang w:val="es-ES"/>
              </w:rPr>
              <w:t>re el río Coto Brus, gracias a la inversión de 580 millones de colones que realizó  la CNE. Con esta obra, alrededor de 1 288 habitantes de comunidades como El Valle Limoncito, Bonanza, San Miguel, Monterrey, La Guinea y Fila Méndez tienen hoy acceso segur</w:t>
            </w:r>
            <w:r>
              <w:rPr>
                <w:rFonts w:ascii="Arial" w:hAnsi="Arial" w:cs="Arial"/>
                <w:lang w:val="es-ES"/>
              </w:rPr>
              <w:t xml:space="preserve">o para trasladarse entre sus comunidades. </w:t>
            </w:r>
          </w:p>
          <w:p w14:paraId="043D3E04" w14:textId="77777777" w:rsidR="00000000" w:rsidRDefault="00EC75AA">
            <w:pPr>
              <w:spacing w:after="0" w:line="240" w:lineRule="auto"/>
              <w:rPr>
                <w:rFonts w:ascii="Arial" w:hAnsi="Arial" w:cs="Arial"/>
                <w:lang w:val="es-ES"/>
              </w:rPr>
            </w:pPr>
          </w:p>
          <w:p w14:paraId="3C80CB36" w14:textId="77777777" w:rsidR="00000000" w:rsidRDefault="00EC75AA">
            <w:pPr>
              <w:spacing w:after="0" w:line="240" w:lineRule="auto"/>
              <w:rPr>
                <w:rFonts w:ascii="Arial" w:hAnsi="Arial" w:cs="Arial"/>
                <w:lang w:val="es-ES"/>
              </w:rPr>
            </w:pPr>
            <w:r>
              <w:rPr>
                <w:rFonts w:ascii="Arial" w:hAnsi="Arial" w:cs="Arial"/>
                <w:lang w:val="es-ES"/>
              </w:rPr>
              <w:t xml:space="preserve">La Comisión Nacional de Prevención de Riesgos y Atención de Emergencias (CNE), realiza esta inversión  en apego a los Decretos de Emergencia 40677 y 40027 por las afectaciones que provocaron la tormenta tropical </w:t>
            </w:r>
            <w:r>
              <w:rPr>
                <w:rFonts w:ascii="Arial" w:hAnsi="Arial" w:cs="Arial"/>
                <w:lang w:val="es-ES"/>
              </w:rPr>
              <w:t>Nate y el huracán Otto.</w:t>
            </w:r>
          </w:p>
          <w:p w14:paraId="3400B374" w14:textId="77777777" w:rsidR="00000000" w:rsidRDefault="00EC75AA">
            <w:pPr>
              <w:spacing w:after="0" w:line="240" w:lineRule="auto"/>
              <w:rPr>
                <w:rFonts w:ascii="Arial" w:hAnsi="Arial" w:cs="Arial"/>
                <w:lang w:val="es-ES"/>
              </w:rPr>
            </w:pPr>
          </w:p>
          <w:p w14:paraId="19F14501" w14:textId="77777777" w:rsidR="00000000" w:rsidRDefault="00EC75AA">
            <w:pPr>
              <w:spacing w:after="0" w:line="240" w:lineRule="auto"/>
              <w:jc w:val="center"/>
              <w:rPr>
                <w:rFonts w:ascii="Arial" w:hAnsi="Arial" w:cs="Arial"/>
                <w:lang w:val="es-ES"/>
              </w:rPr>
            </w:pPr>
            <w:r>
              <w:rPr>
                <w:rFonts w:ascii="Arial" w:hAnsi="Arial" w:cs="Arial"/>
                <w:noProof/>
                <w:lang w:val="es-ES" w:eastAsia="es-ES"/>
              </w:rPr>
              <w:drawing>
                <wp:inline distT="0" distB="0" distL="0" distR="0" wp14:anchorId="527B5C2A" wp14:editId="618B8F99">
                  <wp:extent cx="3792855" cy="2162810"/>
                  <wp:effectExtent l="0" t="0" r="0" b="889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2855" cy="2162810"/>
                          </a:xfrm>
                          <a:prstGeom prst="rect">
                            <a:avLst/>
                          </a:prstGeom>
                          <a:noFill/>
                          <a:ln>
                            <a:noFill/>
                          </a:ln>
                        </pic:spPr>
                      </pic:pic>
                    </a:graphicData>
                  </a:graphic>
                </wp:inline>
              </w:drawing>
            </w:r>
          </w:p>
          <w:p w14:paraId="57F1055D" w14:textId="77777777" w:rsidR="00000000" w:rsidRDefault="00EC75AA">
            <w:pPr>
              <w:spacing w:after="0" w:line="240" w:lineRule="auto"/>
              <w:rPr>
                <w:rFonts w:ascii="Arial" w:hAnsi="Arial" w:cs="Arial"/>
                <w:lang w:val="es-ES"/>
              </w:rPr>
            </w:pPr>
          </w:p>
        </w:tc>
        <w:tc>
          <w:tcPr>
            <w:tcW w:w="222" w:type="dxa"/>
            <w:tcBorders>
              <w:top w:val="single" w:sz="4" w:space="0" w:color="auto"/>
              <w:left w:val="single" w:sz="4" w:space="0" w:color="auto"/>
              <w:bottom w:val="single" w:sz="4" w:space="0" w:color="auto"/>
              <w:right w:val="single" w:sz="4" w:space="0" w:color="auto"/>
            </w:tcBorders>
          </w:tcPr>
          <w:p w14:paraId="54679DFF" w14:textId="77777777" w:rsidR="00000000" w:rsidRDefault="00EC75AA">
            <w:pPr>
              <w:spacing w:after="0" w:line="240" w:lineRule="auto"/>
              <w:rPr>
                <w:rFonts w:ascii="Arial" w:hAnsi="Arial" w:cs="Arial"/>
                <w:lang w:val="es-ES"/>
              </w:rPr>
            </w:pPr>
          </w:p>
        </w:tc>
      </w:tr>
    </w:tbl>
    <w:p w14:paraId="7815B193" w14:textId="77777777" w:rsidR="00000000" w:rsidRDefault="00EC75AA">
      <w:pPr>
        <w:spacing w:after="0" w:line="240" w:lineRule="auto"/>
        <w:rPr>
          <w:rFonts w:ascii="Arial" w:hAnsi="Arial" w:cs="Arial"/>
          <w:lang w:val="es-ES"/>
        </w:rPr>
      </w:pPr>
    </w:p>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E3C47"/>
    <w:multiLevelType w:val="hybridMultilevel"/>
    <w:tmpl w:val="100A9A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num w:numId="1" w16cid:durableId="1613704308">
    <w:abstractNumId w:val="0"/>
  </w:num>
  <w:num w:numId="2" w16cid:durableId="41602400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AA"/>
    <w:rsid w:val="00EC75A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7AFA8B1"/>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lang w:val="es-CR"/>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val="es-CR"/>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rPr>
      <w:rFonts w:ascii="Calibri" w:eastAsia="Calibri" w:hAnsi="Calibri" w:cs="SimSun"/>
      <w:lang w:eastAsia="en-US"/>
    </w:rPr>
  </w:style>
  <w:style w:type="table" w:styleId="Tablaconcuadrcula">
    <w:name w:val="Table Grid"/>
    <w:basedOn w:val="Tabla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3101</Characters>
  <Application>Microsoft Office Word</Application>
  <DocSecurity>0</DocSecurity>
  <Lines>25</Lines>
  <Paragraphs>7</Paragraphs>
  <ScaleCrop>false</ScaleCrop>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Wilgen Saborio Cordoba</dc:creator>
  <cp:keywords/>
  <dc:description/>
  <cp:lastModifiedBy>David Eduarte Vargas</cp:lastModifiedBy>
  <cp:revision>2</cp:revision>
  <dcterms:created xsi:type="dcterms:W3CDTF">2022-05-13T17:22:00Z</dcterms:created>
  <dcterms:modified xsi:type="dcterms:W3CDTF">2022-05-13T17:22:00Z</dcterms:modified>
</cp:coreProperties>
</file>