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65"/>
        <w:gridCol w:w="4563"/>
      </w:tblGrid>
      <w:tr w:rsidR="00000000" w14:paraId="797EAA56" w14:textId="77777777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4A30" w14:textId="77777777" w:rsidR="00000000" w:rsidRDefault="005A3C70">
            <w:pPr>
              <w:pStyle w:val="Ttulo1"/>
              <w:spacing w:line="240" w:lineRule="auto"/>
            </w:pPr>
            <w:r>
              <w:rPr>
                <w:rStyle w:val="Textoennegrita"/>
                <w:b w:val="0"/>
                <w:bCs w:val="0"/>
              </w:rPr>
              <w:t>Curso Virtual fortalece al sector educativo en temas de Gestión del Riesgo</w:t>
            </w:r>
          </w:p>
          <w:p w14:paraId="1085F4C6" w14:textId="77777777" w:rsidR="00000000" w:rsidRDefault="005A3C70">
            <w:pPr>
              <w:pStyle w:val="NormalWeb"/>
              <w:rPr>
                <w:lang w:val="es-ES" w:eastAsia="en-US"/>
              </w:rPr>
            </w:pPr>
            <w:r>
              <w:rPr>
                <w:rFonts w:ascii="Arial" w:hAnsi="Arial" w:cs="Arial"/>
                <w:noProof/>
                <w:lang w:val="es-ES" w:eastAsia="en-US"/>
              </w:rPr>
              <w:drawing>
                <wp:inline distT="0" distB="0" distL="0" distR="0" wp14:anchorId="02127380" wp14:editId="18E59D24">
                  <wp:extent cx="5613400" cy="4222115"/>
                  <wp:effectExtent l="0" t="0" r="6350" b="6985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422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C0187" w14:textId="77777777" w:rsidR="00000000" w:rsidRDefault="005A3C70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• Se han realizado tres promociones, con una participación aproximada de 200 participantes.</w:t>
            </w:r>
            <w:r>
              <w:rPr>
                <w:lang w:val="es-ES" w:eastAsia="en-US"/>
              </w:rPr>
              <w:br/>
            </w:r>
            <w:r>
              <w:rPr>
                <w:rFonts w:ascii="Arial" w:hAnsi="Arial" w:cs="Arial"/>
                <w:lang w:val="es-ES" w:eastAsia="en-US"/>
              </w:rPr>
              <w:t>• Curso busca fortalecer a los centros educativos de todo el país que se encuentran en zonas prioritarias ante amenaza y riesgo.</w:t>
            </w:r>
          </w:p>
          <w:p w14:paraId="2DA3A1B0" w14:textId="77777777" w:rsidR="00000000" w:rsidRDefault="005A3C70">
            <w:pPr>
              <w:pStyle w:val="NormalWeb"/>
              <w:jc w:val="both"/>
              <w:rPr>
                <w:lang w:val="es-ES" w:eastAsia="en-US"/>
              </w:rPr>
            </w:pPr>
            <w:r>
              <w:rPr>
                <w:rStyle w:val="nfasis"/>
                <w:rFonts w:ascii="Arial" w:hAnsi="Arial" w:cs="Arial"/>
                <w:sz w:val="20"/>
                <w:szCs w:val="20"/>
                <w:lang w:val="es-ES" w:eastAsia="en-US"/>
              </w:rPr>
              <w:t>San José, 25 de abril de 2019.</w:t>
            </w:r>
            <w:r>
              <w:rPr>
                <w:rFonts w:ascii="Arial" w:hAnsi="Arial" w:cs="Arial"/>
                <w:sz w:val="20"/>
                <w:szCs w:val="20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lang w:val="es-ES" w:eastAsia="en-US"/>
              </w:rPr>
              <w:t>Este viernes se inauguró la III promoción del Curso Virtual sobre Gestión del Riesgo en Desastre</w:t>
            </w:r>
            <w:r>
              <w:rPr>
                <w:rFonts w:ascii="Arial" w:hAnsi="Arial" w:cs="Arial"/>
                <w:lang w:val="es-ES" w:eastAsia="en-US"/>
              </w:rPr>
              <w:t>s que permitirá a educadores y funcionarios del Ministerio de Educación Pública (MEP), fortalecer una cultura de gestión del riesgo en las comunidades educativas desde un enfoque preventivo e inclusivo.</w:t>
            </w:r>
            <w:r>
              <w:rPr>
                <w:lang w:val="es-ES" w:eastAsia="en-US"/>
              </w:rPr>
              <w:br/>
            </w:r>
            <w:r>
              <w:rPr>
                <w:rFonts w:ascii="Arial" w:hAnsi="Arial" w:cs="Arial"/>
                <w:lang w:val="es-ES" w:eastAsia="en-US"/>
              </w:rPr>
              <w:t>La Comisión Nacional de Prevención de Riesgos y Atenc</w:t>
            </w:r>
            <w:r>
              <w:rPr>
                <w:rFonts w:ascii="Arial" w:hAnsi="Arial" w:cs="Arial"/>
                <w:lang w:val="es-ES" w:eastAsia="en-US"/>
              </w:rPr>
              <w:t xml:space="preserve">ión de Emergencias (CNE), en coordinación con el Departamento de Control Interno y Gestión del Riesgo del Ministerio de Educación Pública, la colaboración de USAID/OFDA/LAC y CEPREDENAC, buscan con esta iniciativa, implementar actividades que favorezcan a </w:t>
            </w:r>
            <w:r>
              <w:rPr>
                <w:rFonts w:ascii="Arial" w:hAnsi="Arial" w:cs="Arial"/>
                <w:lang w:val="es-ES" w:eastAsia="en-US"/>
              </w:rPr>
              <w:t>la disminución del riesgo, brindando mayor seguridad a la población infantil y juvenil que asiste a los distintos centros educativos del país.</w:t>
            </w:r>
            <w:r>
              <w:rPr>
                <w:lang w:val="es-ES" w:eastAsia="en-US"/>
              </w:rPr>
              <w:br/>
            </w:r>
            <w:r>
              <w:rPr>
                <w:rFonts w:ascii="Arial" w:hAnsi="Arial" w:cs="Arial"/>
                <w:lang w:val="es-ES" w:eastAsia="en-US"/>
              </w:rPr>
              <w:t xml:space="preserve">Con el fin fortalecer a las escuelas y colegios que se encuentran en zonas </w:t>
            </w:r>
            <w:r>
              <w:rPr>
                <w:rFonts w:ascii="Arial" w:hAnsi="Arial" w:cs="Arial"/>
                <w:lang w:val="es-ES" w:eastAsia="en-US"/>
              </w:rPr>
              <w:lastRenderedPageBreak/>
              <w:t>prioritarias ante amenaza y riesgo, se</w:t>
            </w:r>
            <w:r>
              <w:rPr>
                <w:rFonts w:ascii="Arial" w:hAnsi="Arial" w:cs="Arial"/>
                <w:lang w:val="es-ES" w:eastAsia="en-US"/>
              </w:rPr>
              <w:t xml:space="preserve"> imparten insumos teórico-prácticos, que permiten realizar acciones de planificación, promoción, organización, desarrollo y ejecución en prevención de riesgos y atención de emergencias dentro de las comunidades educativas.</w:t>
            </w:r>
            <w:r>
              <w:rPr>
                <w:lang w:val="es-ES" w:eastAsia="en-US"/>
              </w:rPr>
              <w:br/>
            </w:r>
            <w:r>
              <w:rPr>
                <w:rFonts w:ascii="Arial" w:hAnsi="Arial" w:cs="Arial"/>
                <w:lang w:val="es-ES" w:eastAsia="en-US"/>
              </w:rPr>
              <w:t>Para esto, la CNE generó una seri</w:t>
            </w:r>
            <w:r>
              <w:rPr>
                <w:rFonts w:ascii="Arial" w:hAnsi="Arial" w:cs="Arial"/>
                <w:lang w:val="es-ES" w:eastAsia="en-US"/>
              </w:rPr>
              <w:t>e de alianzas con el MEP y sus distintas dependencias, con el fin de reactivar esta modalidad educativa, y cumplir con lo solicitado con el Plan Nacional de Gestión de Riesgo y la Estrategia Nacional de Educación en Gestión de Riesgo.</w:t>
            </w:r>
          </w:p>
        </w:tc>
      </w:tr>
      <w:tr w:rsidR="00000000" w14:paraId="0AFB43D5" w14:textId="7777777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770" w14:textId="77777777" w:rsidR="00000000" w:rsidRDefault="005A3C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Desde el año 2017 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 ha realizado tres promociones, con una participación aproximada de 200 participantes virtuales y más de 700 facilitadores mediante modalidad presencial.</w:t>
            </w:r>
            <w:r>
              <w:rPr>
                <w:sz w:val="24"/>
                <w:szCs w:val="24"/>
                <w:lang w:val="es-ES"/>
              </w:rPr>
              <w:br/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El curso se realizó en la escuela líder República de Haití, con la colaboración de 14 tutores de gran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experiencia facilitados por el MEP. Se prevé la participación de aproximadamente 90 representantes de diversas instituciones vinculadas al sistema educativo del país.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5046" w14:textId="77777777" w:rsidR="00000000" w:rsidRDefault="005A3C70">
            <w:pPr>
              <w:spacing w:after="0" w:line="240" w:lineRule="auto"/>
            </w:pPr>
            <w:r>
              <w:rPr>
                <w:rFonts w:ascii="Arial" w:hAnsi="Arial" w:cs="Arial"/>
                <w:noProof/>
                <w:lang w:val="es-ES"/>
              </w:rPr>
              <w:drawing>
                <wp:inline distT="0" distB="0" distL="0" distR="0" wp14:anchorId="3BCA24EE" wp14:editId="54F78771">
                  <wp:extent cx="2830830" cy="2122805"/>
                  <wp:effectExtent l="0" t="0" r="7620" b="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5D7ECC4" w14:textId="77777777"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F0E8" w14:textId="77777777" w:rsidR="00000000" w:rsidRDefault="005A3C70">
            <w:pPr>
              <w:spacing w:after="0" w:line="240" w:lineRule="auto"/>
            </w:pPr>
            <w:r>
              <w:rPr>
                <w:rFonts w:ascii="Arial" w:hAnsi="Arial" w:cs="Arial"/>
                <w:lang w:val="es-ES"/>
              </w:rPr>
              <w:t>La actividad está a cargo y coordinado por la Dirección de Gestión del Riesgo-CEDO con el apoyo de la Unidad de Normalización de la CNE. Se espera su finalización a finales del mes de junio del presente año.</w:t>
            </w:r>
          </w:p>
        </w:tc>
      </w:tr>
    </w:tbl>
    <w:p w14:paraId="37A2F80A" w14:textId="77777777" w:rsidR="00000000" w:rsidRDefault="005A3C70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70"/>
    <w:rsid w:val="005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E3BE8EF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Guillermo Sancho Zeledon</dc:creator>
  <cp:keywords/>
  <dc:description/>
  <cp:lastModifiedBy>David Eduarte Vargas</cp:lastModifiedBy>
  <cp:revision>2</cp:revision>
  <dcterms:created xsi:type="dcterms:W3CDTF">2022-05-13T17:20:00Z</dcterms:created>
  <dcterms:modified xsi:type="dcterms:W3CDTF">2022-05-13T17:20:00Z</dcterms:modified>
</cp:coreProperties>
</file>