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659"/>
        <w:gridCol w:w="5169"/>
      </w:tblGrid>
      <w:tr w:rsidR="00000000" w14:paraId="3BC31B89" w14:textId="77777777"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CBDE" w14:textId="77777777" w:rsidR="00000000" w:rsidRDefault="00F1129C">
            <w:pPr>
              <w:pStyle w:val="Ttulo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</w:pPr>
            <w:r>
              <w:rPr>
                <w:rFonts w:eastAsia="Times New Roman"/>
                <w:lang w:val="es-ES" w:eastAsia="es-CR"/>
              </w:rPr>
              <w:t>Acciones de la CNE durante el año 2018</w:t>
            </w:r>
          </w:p>
          <w:p w14:paraId="79DAC3A2" w14:textId="77777777" w:rsidR="00000000" w:rsidRDefault="00F1129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i/>
                <w:iCs/>
                <w:sz w:val="32"/>
                <w:szCs w:val="32"/>
                <w:lang w:val="es-ES" w:eastAsia="es-CR"/>
              </w:rPr>
              <w:t>Se reporta un total de 7.168 eventos atendidos durante el 2018</w:t>
            </w:r>
          </w:p>
          <w:p w14:paraId="589022B3" w14:textId="77777777" w:rsidR="00000000" w:rsidRDefault="00F1129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i/>
                <w:iCs/>
                <w:sz w:val="32"/>
                <w:szCs w:val="32"/>
                <w:lang w:val="es-ES" w:eastAsia="es-CR"/>
              </w:rPr>
              <w:t>Se declararon 47 alertas que permitieron mantener a la población informada</w:t>
            </w:r>
          </w:p>
          <w:p w14:paraId="2C9008D1" w14:textId="77777777" w:rsidR="00000000" w:rsidRDefault="00F1129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i/>
                <w:iCs/>
                <w:sz w:val="32"/>
                <w:szCs w:val="32"/>
                <w:lang w:val="es-ES" w:eastAsia="es-CR"/>
              </w:rPr>
              <w:t>Se realizó una inversión de más de 12 mil millones de colones en 407 obras con impacto social y altos estándares de calidad</w:t>
            </w:r>
          </w:p>
          <w:p w14:paraId="2CAF00F6" w14:textId="77777777" w:rsidR="00000000" w:rsidRDefault="00F1129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i/>
                <w:iCs/>
                <w:sz w:val="32"/>
                <w:szCs w:val="32"/>
                <w:lang w:val="es-ES" w:eastAsia="es-CR"/>
              </w:rPr>
              <w:t>1.400 inspecciones en zonas de alta</w:t>
            </w:r>
          </w:p>
          <w:p w14:paraId="50C49856" w14:textId="77777777" w:rsidR="00000000" w:rsidRDefault="00F1129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s-ES" w:eastAsia="es-CR"/>
              </w:rPr>
              <w:t>San José, 31 de diciembre del 2018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ES" w:eastAsia="es-C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 xml:space="preserve">  Durante el año 2018, la Comisión Nacional de Prevención de 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>Riesgos y Atención de Emergencias declaró 47 alertas con un impacto en la mayor parte del territorio nacional, principalmente por eventos de origen meteorológico.</w:t>
            </w:r>
          </w:p>
          <w:p w14:paraId="2114F336" w14:textId="77777777" w:rsidR="00000000" w:rsidRDefault="00F1129C">
            <w:pPr>
              <w:spacing w:after="0" w:line="240" w:lineRule="auto"/>
              <w:rPr>
                <w:lang w:val="es-ES"/>
              </w:rPr>
            </w:pPr>
          </w:p>
        </w:tc>
      </w:tr>
      <w:tr w:rsidR="00000000" w14:paraId="1B41E00E" w14:textId="7777777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2418" w14:textId="77777777" w:rsidR="00000000" w:rsidRDefault="00F1129C">
            <w:pPr>
              <w:pStyle w:val="NormalWeb"/>
              <w:spacing w:after="0" w:afterAutospacing="0"/>
              <w:jc w:val="both"/>
              <w:rPr>
                <w:lang w:val="es-ES" w:eastAsia="en-US"/>
              </w:rPr>
            </w:pPr>
            <w:r>
              <w:rPr>
                <w:rFonts w:ascii="Arial" w:hAnsi="Arial" w:cs="Arial"/>
                <w:lang w:val="es-ES" w:eastAsia="en-US"/>
              </w:rPr>
              <w:t xml:space="preserve">Las alertas permitieron mantener a las instituciones y población informada en tiempo real </w:t>
            </w:r>
            <w:r>
              <w:rPr>
                <w:rFonts w:ascii="Arial" w:hAnsi="Arial" w:cs="Arial"/>
                <w:lang w:val="es-ES" w:eastAsia="en-US"/>
              </w:rPr>
              <w:t>de los fenómenos atmosféricos con acciones de respuesta concretas y articulados con las instituciones del Sistema Nacional de Gestión de Riesgo (SNGR) y los Comités Municipales y Comunales de Emergencia para la atención de más de </w:t>
            </w:r>
            <w:r>
              <w:rPr>
                <w:rStyle w:val="Textoennegrita"/>
                <w:rFonts w:ascii="Arial" w:hAnsi="Arial" w:cs="Arial"/>
                <w:lang w:val="es-ES" w:eastAsia="en-US"/>
              </w:rPr>
              <w:t>125 mil personas afectadas</w:t>
            </w:r>
            <w:r>
              <w:rPr>
                <w:rFonts w:ascii="Arial" w:hAnsi="Arial" w:cs="Arial"/>
                <w:lang w:val="es-ES" w:eastAsia="en-US"/>
              </w:rPr>
              <w:t> durante el año.</w:t>
            </w:r>
          </w:p>
          <w:p w14:paraId="04E997F2" w14:textId="77777777" w:rsidR="00000000" w:rsidRDefault="00F1129C">
            <w:pPr>
              <w:pStyle w:val="NormalWeb"/>
              <w:jc w:val="both"/>
              <w:rPr>
                <w:lang w:val="es-ES" w:eastAsia="en-US"/>
              </w:rPr>
            </w:pPr>
            <w:r>
              <w:rPr>
                <w:rStyle w:val="Textoennegrita"/>
                <w:rFonts w:ascii="Arial" w:hAnsi="Arial" w:cs="Arial"/>
                <w:lang w:val="es-ES" w:eastAsia="en-US"/>
              </w:rPr>
              <w:t>Emergencias atendidas </w:t>
            </w:r>
            <w:r>
              <w:rPr>
                <w:rFonts w:ascii="Arial" w:hAnsi="Arial" w:cs="Arial"/>
                <w:lang w:val="es-ES" w:eastAsia="en-US"/>
              </w:rPr>
              <w:t xml:space="preserve">Estas 47 alertas requirieron la coordinación y movilización interinstitucional mediante la activación de procedimientos.   </w:t>
            </w:r>
            <w:r>
              <w:rPr>
                <w:rFonts w:ascii="Arial" w:hAnsi="Arial" w:cs="Arial"/>
                <w:lang w:val="es-ES" w:eastAsia="en-US"/>
              </w:rPr>
              <w:t>Asimismo, la movilización de recursos materiales y financieros para la asistencia humanitaria por un monto de más de mil millones de colones, la apertura y gestión de </w:t>
            </w:r>
            <w:r>
              <w:rPr>
                <w:rStyle w:val="Textoennegrita"/>
                <w:rFonts w:ascii="Arial" w:hAnsi="Arial" w:cs="Arial"/>
                <w:lang w:val="es-ES" w:eastAsia="en-US"/>
              </w:rPr>
              <w:t>95 albergues,</w:t>
            </w:r>
            <w:r>
              <w:rPr>
                <w:rFonts w:ascii="Arial" w:hAnsi="Arial" w:cs="Arial"/>
                <w:lang w:val="es-ES" w:eastAsia="en-US"/>
              </w:rPr>
              <w:t xml:space="preserve"> manejo de </w:t>
            </w:r>
            <w:r>
              <w:rPr>
                <w:rFonts w:ascii="Arial" w:hAnsi="Arial" w:cs="Arial"/>
                <w:lang w:val="es-ES" w:eastAsia="en-US"/>
              </w:rPr>
              <w:lastRenderedPageBreak/>
              <w:t>suministros y atención integral, entre otros.</w:t>
            </w:r>
          </w:p>
          <w:p w14:paraId="1076CF9F" w14:textId="77777777" w:rsidR="00000000" w:rsidRDefault="00F1129C">
            <w:pPr>
              <w:pStyle w:val="NormalWeb"/>
              <w:jc w:val="both"/>
              <w:rPr>
                <w:lang w:val="es-ES" w:eastAsia="en-US"/>
              </w:rPr>
            </w:pPr>
            <w:r>
              <w:rPr>
                <w:rFonts w:ascii="Arial" w:hAnsi="Arial" w:cs="Arial"/>
                <w:lang w:val="es-ES" w:eastAsia="en-US"/>
              </w:rPr>
              <w:t>En total, se atendi</w:t>
            </w:r>
            <w:r>
              <w:rPr>
                <w:rFonts w:ascii="Arial" w:hAnsi="Arial" w:cs="Arial"/>
                <w:lang w:val="es-ES" w:eastAsia="en-US"/>
              </w:rPr>
              <w:t>eron </w:t>
            </w:r>
            <w:r>
              <w:rPr>
                <w:rStyle w:val="Textoennegrita"/>
                <w:rFonts w:ascii="Arial" w:hAnsi="Arial" w:cs="Arial"/>
                <w:lang w:val="es-ES" w:eastAsia="en-US"/>
              </w:rPr>
              <w:t>7.168 eventos</w:t>
            </w:r>
            <w:r>
              <w:rPr>
                <w:rFonts w:ascii="Arial" w:hAnsi="Arial" w:cs="Arial"/>
                <w:lang w:val="es-ES" w:eastAsia="en-US"/>
              </w:rPr>
              <w:t>, en su mayoría por efecto de las inundaciones, deslizamientos, fuertes vientos, actividad sísmica y volcánica, advertencia de tsunamis.</w:t>
            </w:r>
          </w:p>
          <w:p w14:paraId="3907BCC9" w14:textId="77777777" w:rsidR="00000000" w:rsidRDefault="00F1129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436F" w14:textId="77777777" w:rsidR="00000000" w:rsidRDefault="00F1129C">
            <w:pPr>
              <w:spacing w:after="0" w:line="240" w:lineRule="auto"/>
              <w:rPr>
                <w:lang w:val="es-ES"/>
              </w:rPr>
            </w:pPr>
            <w:r>
              <w:rPr>
                <w:noProof/>
                <w:lang w:val="es-ES"/>
              </w:rPr>
              <w:lastRenderedPageBreak/>
              <w:drawing>
                <wp:inline distT="0" distB="0" distL="0" distR="0" wp14:anchorId="62B45BBD" wp14:editId="3C305008">
                  <wp:extent cx="3140710" cy="4206240"/>
                  <wp:effectExtent l="0" t="0" r="2540" b="381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710" cy="420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14C29199" w14:textId="77777777"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2DC3" w14:textId="77777777" w:rsidR="00000000" w:rsidRDefault="00F112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Inversión en obras de reconstrucción 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 xml:space="preserve">Se realizó 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>una inversión de 12.887.756.115 (doce mil ochocientos ochenta y siete millones setecientos cincuenta y seis mil ciento quince colones) en obras de reconstrucción con impacto social, como es la rehabilitación de caminos, puentes, acueductos, intervención en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 xml:space="preserve"> cauces,  diques, entre otros.</w:t>
            </w:r>
          </w:p>
          <w:p w14:paraId="4B115FEA" w14:textId="77777777" w:rsidR="00000000" w:rsidRDefault="00F112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>En total se realizaron 407 obras que significaron el acceso y el desarrollo social y productivo de las comunidades, las cuales fueron construidas con excelentes estándares de calidad para evitar que se reproduzca la vulnerabi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>lidad en los diferentes territorios y garantizar que las obras resistan ante el embate de próximas emergencias.  Del total de obras, 361 son primeros impactos y 46 de contratación por emergencia declarada.</w:t>
            </w:r>
          </w:p>
          <w:p w14:paraId="7499782F" w14:textId="77777777" w:rsidR="00000000" w:rsidRDefault="00F112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Inspecciones realizadas por la CNE durante el 2018</w:t>
            </w:r>
          </w:p>
          <w:p w14:paraId="3EA49DA8" w14:textId="77777777" w:rsidR="00000000" w:rsidRDefault="00F112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>A través de su cuerpo de geólogos, la CNE atendió 1400 solicitudes de inspección para determinar la condición de riesgo en diversos puntos de todo el país, y evaluaciones por eventos naturales imprevistos que generaron un impacto sobre alguna comunidad en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 xml:space="preserve"> condición de riesgo.Más del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90%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> de las inspecciones fueron por problemas de inestabilidad de laderas (deslizamientos) y erosión, debido al mal manejo de aguas servidas, inadecuados diseños, cortes de suelos entre otros.</w:t>
            </w:r>
          </w:p>
          <w:p w14:paraId="4C41162A" w14:textId="77777777" w:rsidR="00000000" w:rsidRDefault="00F112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 xml:space="preserve">Los cantones con mayor solicitudes 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>de inspecciones fueron:  Turrialba, Cartago, Alajuelita, Aserri, Acosta, zona de los Santos, Desamparados, Heredia, Grecia, Upala,   Bagaces, Pérez Zeledón y Osa.</w:t>
            </w:r>
          </w:p>
          <w:p w14:paraId="77FC24D1" w14:textId="77777777" w:rsidR="00000000" w:rsidRDefault="00F112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>Destaca la labor preventiva realizada por la CNE para la salvaguarda de la vida de 40 persona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>s (13 familias) que habitaban en Santa Clara Vieja en San Vito de Coto Brus, que gracias a las recomendaciones se logró evacuar antes de que ocurriera el deslizamiento de grandes proporciones.</w:t>
            </w:r>
          </w:p>
          <w:p w14:paraId="1F1D64C8" w14:textId="77777777" w:rsidR="00000000" w:rsidRDefault="00F112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>Además, ante la constante actividad en los volcanes que present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 xml:space="preserve">aron mayor cantidad de emisiones de gases y ceniza, se dio vigilancia y monitoreo en conjunto con los entes técnicos científicos, para brindar apoyo al personal de 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lastRenderedPageBreak/>
              <w:t>parques nacionales que se encuentra en estas áreas de conservación atendiendo público o resg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>uardando el ingreso a zonas restringidas.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>  </w:t>
            </w:r>
          </w:p>
          <w:p w14:paraId="45B01410" w14:textId="77777777" w:rsidR="00000000" w:rsidRDefault="00F112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>Esta labor de vigilancia e investigación se realiza con el apoyo de organismos especializados, tales como el Observatorio Vulcanológico y Sismológico de Costa Rica, (OVSICORI), la Red Sismológica Nacional (RSN:IC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>E-UCR), Sistema de Monitoreo Nacional de Tsunamis (SINAMOT), MIO-CIMAR (Módulo de Información Oceanográfica), Instituto Meteorológico Nacional (IMN), el Laboratorio de Ingeniería Sísmica (LIS), entre otros.</w:t>
            </w:r>
          </w:p>
          <w:p w14:paraId="0EFE87A0" w14:textId="77777777" w:rsidR="00000000" w:rsidRDefault="00F112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Asesoría 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 xml:space="preserve">La CNE responde a una constante demanda 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>de asesoría en materia de gestión del riesgo y durante el 2018, se brindó ese acompañamiento a más de 200 colaboradores de las instituciones e instancias de coordinación del SNGR para la incorporación de la temática en la planificación y presupuestación; a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>sí como en la estandarización de normas y procedimientos, que fortalecen las capacidades en gestión del riesgo.</w:t>
            </w:r>
          </w:p>
          <w:p w14:paraId="55A5C87C" w14:textId="77777777" w:rsidR="00000000" w:rsidRDefault="00F112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>Se desarrollaron alrededor de 40 actividades de asesorías para el sector municipal, sector educación e instancias de coordinación del SNGR, medi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>ante cursos, talleres y otras actividades similares.    </w:t>
            </w:r>
          </w:p>
          <w:p w14:paraId="54092233" w14:textId="77777777" w:rsidR="00000000" w:rsidRDefault="00F11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es-ES" w:eastAsia="es-CR"/>
              </w:rPr>
              <w:t>ENLACE DE ESFUERZOS</w:t>
            </w:r>
          </w:p>
          <w:p w14:paraId="7D71E09B" w14:textId="77777777" w:rsidR="00000000" w:rsidRDefault="00F1129C">
            <w:pPr>
              <w:spacing w:after="0" w:line="240" w:lineRule="auto"/>
            </w:pPr>
          </w:p>
        </w:tc>
      </w:tr>
    </w:tbl>
    <w:p w14:paraId="075854A8" w14:textId="77777777" w:rsidR="00000000" w:rsidRDefault="00F1129C"/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15EB"/>
    <w:multiLevelType w:val="multilevel"/>
    <w:tmpl w:val="3A82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1060B8"/>
    <w:multiLevelType w:val="multilevel"/>
    <w:tmpl w:val="A258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334693">
    <w:abstractNumId w:val="0"/>
  </w:num>
  <w:num w:numId="2" w16cid:durableId="209264270">
    <w:abstractNumId w:val="1"/>
  </w:num>
  <w:num w:numId="3" w16cid:durableId="139909043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9C"/>
    <w:rsid w:val="00F1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F7E1A6B"/>
  <w15:chartTrackingRefBased/>
  <w15:docId w15:val="{DF28AF17-20CB-49E5-A442-89DE9CC8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Guillermo Sancho Zeledon</dc:creator>
  <cp:keywords/>
  <dc:description/>
  <cp:lastModifiedBy>David Eduarte Vargas</cp:lastModifiedBy>
  <cp:revision>2</cp:revision>
  <dcterms:created xsi:type="dcterms:W3CDTF">2022-05-13T17:10:00Z</dcterms:created>
  <dcterms:modified xsi:type="dcterms:W3CDTF">2022-05-13T17:10:00Z</dcterms:modified>
</cp:coreProperties>
</file>